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footer7.xml" ContentType="application/vnd.openxmlformats-officedocument.wordprocessingml.footer+xml"/>
  <Override PartName="/word/numbering.xml" ContentType="application/vnd.openxmlformats-officedocument.wordprocessingml.numbering+xml"/>
  <Override PartName="/word/header4.xml" ContentType="application/vnd.openxmlformats-officedocument.wordprocessingml.header+xml"/>
  <Override PartName="/word/document.xml" ContentType="application/vnd.openxmlformats-officedocument.wordprocessingml.document.main+xml"/>
  <Override PartName="/word/header6.xml" ContentType="application/vnd.openxmlformats-officedocument.wordprocessingml.header+xml"/>
  <Override PartName="/word/media/image1.png" ContentType="image/png"/>
  <Override PartName="/word/header15.xml" ContentType="application/vnd.openxmlformats-officedocument.wordprocessingml.header+xml"/>
  <Override PartName="/word/header11.xml" ContentType="application/vnd.openxmlformats-officedocument.wordprocessingml.header+xml"/>
  <Override PartName="/word/header8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theme/theme1.xml" ContentType="application/vnd.openxmlformats-officedocument.theme+xml"/>
  <Override PartName="/word/header5.xml" ContentType="application/vnd.openxmlformats-officedocument.wordprocessingml.header+xml"/>
  <Override PartName="/word/settings.xml" ContentType="application/vnd.openxmlformats-officedocument.wordprocessingml.settings+xml"/>
  <Override PartName="/word/header12.xml" ContentType="application/vnd.openxmlformats-officedocument.wordprocessingml.header+xml"/>
  <Override PartName="/word/header9.xml" ContentType="application/vnd.openxmlformats-officedocument.wordprocessingml.header+xml"/>
  <Override PartName="/word/header3.xml" ContentType="application/vnd.openxmlformats-officedocument.wordprocessingml.head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header1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16.xml" ContentType="application/vnd.openxmlformats-officedocument.wordprocessingml.header+xml"/>
  <Override PartName="/word/footer1.xml" ContentType="application/vnd.openxmlformats-officedocument.wordprocessingml.footer+xml"/>
  <Override PartName="/word/header17.xml" ContentType="application/vnd.openxmlformats-officedocument.wordprocessingml.header+xml"/>
  <Override PartName="/word/fontTable.xml" ContentType="application/vnd.openxmlformats-officedocument.wordprocessingml.fontTable+xml"/>
  <Override PartName="/word/footer6.xml" ContentType="application/vnd.openxmlformats-officedocument.wordprocessingml.footer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rFonts w:eastAsia="Calibri"/>
          <w:b/>
        </w:rPr>
      </w:pPr>
      <w:r>
        <w:rPr>
          <w:rFonts w:eastAsia="Calibri"/>
          <w:b/>
        </w:rPr>
      </w:r>
    </w:p>
    <w:p>
      <w:pPr>
        <w:pStyle w:val="Normal"/>
        <w:jc w:val="right"/>
        <w:rPr>
          <w:rFonts w:eastAsia="Calibri"/>
          <w:sz w:val="32"/>
          <w:szCs w:val="32"/>
        </w:rPr>
      </w:pPr>
      <w:r>
        <w:rPr>
          <w:rFonts w:eastAsia="Calibri"/>
          <w:sz w:val="32"/>
          <w:szCs w:val="32"/>
        </w:rPr>
      </w:r>
    </w:p>
    <w:p>
      <w:pPr>
        <w:pStyle w:val="Normal"/>
        <w:jc w:val="right"/>
        <w:rPr>
          <w:rFonts w:eastAsia="Calibri"/>
          <w:sz w:val="32"/>
          <w:szCs w:val="32"/>
        </w:rPr>
      </w:pPr>
      <w:r>
        <w:rPr>
          <w:rFonts w:eastAsia="Calibri"/>
          <w:sz w:val="32"/>
          <w:szCs w:val="32"/>
        </w:rPr>
      </w:r>
    </w:p>
    <w:p>
      <w:pPr>
        <w:pStyle w:val="Normal"/>
        <w:jc w:val="right"/>
        <w:rPr>
          <w:rFonts w:eastAsia="Calibri"/>
          <w:sz w:val="32"/>
          <w:szCs w:val="32"/>
        </w:rPr>
      </w:pPr>
      <w:r>
        <w:rPr>
          <w:rFonts w:eastAsia="Calibri"/>
          <w:sz w:val="32"/>
          <w:szCs w:val="32"/>
        </w:rPr>
      </w:r>
    </w:p>
    <w:p>
      <w:pPr>
        <w:pStyle w:val="Normal"/>
        <w:jc w:val="right"/>
        <w:rPr>
          <w:rFonts w:eastAsia="Calibri"/>
          <w:sz w:val="32"/>
          <w:szCs w:val="32"/>
        </w:rPr>
      </w:pPr>
      <w:r>
        <w:rPr>
          <w:rFonts w:eastAsia="Calibri"/>
          <w:sz w:val="32"/>
          <w:szCs w:val="32"/>
        </w:rPr>
      </w:r>
    </w:p>
    <w:p>
      <w:pPr>
        <w:pStyle w:val="Normal"/>
        <w:jc w:val="right"/>
        <w:rPr>
          <w:rFonts w:eastAsia="Calibri"/>
          <w:sz w:val="32"/>
          <w:szCs w:val="32"/>
        </w:rPr>
      </w:pPr>
      <w:r>
        <w:rPr>
          <w:rFonts w:eastAsia="Calibri"/>
          <w:sz w:val="32"/>
          <w:szCs w:val="32"/>
        </w:rPr>
      </w:r>
    </w:p>
    <w:p>
      <w:pPr>
        <w:pStyle w:val="Normal"/>
        <w:jc w:val="right"/>
        <w:rPr>
          <w:rFonts w:eastAsia="Calibri"/>
          <w:sz w:val="32"/>
          <w:szCs w:val="32"/>
        </w:rPr>
      </w:pPr>
      <w:r>
        <w:rPr>
          <w:rFonts w:eastAsia="Calibri"/>
          <w:sz w:val="32"/>
          <w:szCs w:val="32"/>
        </w:rPr>
      </w:r>
    </w:p>
    <w:p>
      <w:pPr>
        <w:pStyle w:val="Normal"/>
        <w:jc w:val="right"/>
        <w:rPr>
          <w:rFonts w:eastAsia="Calibri"/>
          <w:sz w:val="32"/>
          <w:szCs w:val="32"/>
        </w:rPr>
      </w:pPr>
      <w:r>
        <w:rPr>
          <w:rFonts w:eastAsia="Calibri"/>
          <w:sz w:val="32"/>
          <w:szCs w:val="32"/>
        </w:rPr>
      </w:r>
    </w:p>
    <w:p>
      <w:pPr>
        <w:pStyle w:val="Normal"/>
        <w:jc w:val="right"/>
        <w:rPr>
          <w:rFonts w:eastAsia="Calibri"/>
          <w:sz w:val="32"/>
          <w:szCs w:val="32"/>
        </w:rPr>
      </w:pPr>
      <w:r>
        <w:rPr>
          <w:rFonts w:eastAsia="Calibri"/>
          <w:sz w:val="32"/>
          <w:szCs w:val="32"/>
        </w:rPr>
      </w:r>
    </w:p>
    <w:p>
      <w:pPr>
        <w:pStyle w:val="Normal"/>
        <w:jc w:val="right"/>
        <w:rPr>
          <w:rFonts w:eastAsia="Calibri"/>
          <w:sz w:val="32"/>
          <w:szCs w:val="32"/>
        </w:rPr>
      </w:pPr>
      <w:r>
        <w:rPr>
          <w:rFonts w:eastAsia="Calibri"/>
          <w:sz w:val="32"/>
          <w:szCs w:val="32"/>
        </w:rPr>
      </w:r>
    </w:p>
    <w:p>
      <w:pPr>
        <w:pStyle w:val="Normal"/>
        <w:jc w:val="right"/>
        <w:rPr>
          <w:rFonts w:eastAsia="Calibri"/>
          <w:sz w:val="32"/>
          <w:szCs w:val="32"/>
        </w:rPr>
      </w:pPr>
      <w:r>
        <w:rPr>
          <w:rFonts w:eastAsia="Calibri"/>
          <w:sz w:val="32"/>
          <w:szCs w:val="32"/>
        </w:rPr>
      </w:r>
    </w:p>
    <w:p>
      <w:pPr>
        <w:pStyle w:val="Normal"/>
        <w:jc w:val="right"/>
        <w:rPr>
          <w:rFonts w:eastAsia="Calibri"/>
          <w:sz w:val="32"/>
          <w:szCs w:val="32"/>
        </w:rPr>
      </w:pPr>
      <w:r>
        <w:rPr>
          <w:rFonts w:eastAsia="Calibri"/>
          <w:sz w:val="32"/>
          <w:szCs w:val="32"/>
        </w:rPr>
      </w:r>
    </w:p>
    <w:p>
      <w:pPr>
        <w:pStyle w:val="Normal"/>
        <w:jc w:val="center"/>
        <w:rPr>
          <w:rFonts w:eastAsia="Calibri"/>
          <w:b/>
          <w:sz w:val="32"/>
          <w:szCs w:val="32"/>
        </w:rPr>
      </w:pPr>
      <w:r>
        <w:rPr>
          <w:rFonts w:eastAsia="Calibri"/>
          <w:b/>
          <w:sz w:val="32"/>
          <w:szCs w:val="32"/>
        </w:rPr>
        <w:t>Технические требования</w:t>
      </w:r>
    </w:p>
    <w:p>
      <w:pPr>
        <w:pStyle w:val="Normal"/>
        <w:jc w:val="center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</w:r>
    </w:p>
    <w:p>
      <w:pPr>
        <w:pStyle w:val="Normal"/>
        <w:jc w:val="center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ОКПД2 43.29.12 Выполнение работ по монтажу инженерных заграждений и сооружений для нужд Волжского филиала АО «Гидроремонт-ВКК»</w:t>
      </w:r>
    </w:p>
    <w:p>
      <w:pPr>
        <w:pStyle w:val="Normal"/>
        <w:jc w:val="center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Лот № </w:t>
      </w:r>
    </w:p>
    <w:p>
      <w:pPr>
        <w:pStyle w:val="Normal"/>
        <w:jc w:val="center"/>
        <w:rPr>
          <w:rFonts w:eastAsia="Calibri"/>
          <w:b/>
          <w:sz w:val="32"/>
          <w:szCs w:val="32"/>
        </w:rPr>
      </w:pPr>
      <w:r>
        <w:rPr>
          <w:rFonts w:eastAsia="Calibri"/>
          <w:b/>
          <w:sz w:val="32"/>
          <w:szCs w:val="32"/>
        </w:rPr>
      </w:r>
    </w:p>
    <w:p>
      <w:pPr>
        <w:pStyle w:val="Normal"/>
        <w:jc w:val="center"/>
        <w:rPr>
          <w:rFonts w:eastAsia="Calibri"/>
          <w:b/>
          <w:sz w:val="32"/>
          <w:szCs w:val="32"/>
        </w:rPr>
      </w:pPr>
      <w:r>
        <w:rPr>
          <w:rFonts w:eastAsia="Calibri"/>
          <w:b/>
          <w:sz w:val="32"/>
          <w:szCs w:val="32"/>
        </w:rPr>
      </w:r>
    </w:p>
    <w:p>
      <w:pPr>
        <w:pStyle w:val="Normal"/>
        <w:jc w:val="center"/>
        <w:rPr>
          <w:rFonts w:eastAsia="Calibri"/>
          <w:b/>
          <w:sz w:val="32"/>
          <w:szCs w:val="32"/>
        </w:rPr>
      </w:pPr>
      <w:r>
        <w:rPr>
          <w:rFonts w:eastAsia="Calibri"/>
          <w:b/>
          <w:sz w:val="32"/>
          <w:szCs w:val="32"/>
        </w:rPr>
      </w:r>
    </w:p>
    <w:p>
      <w:pPr>
        <w:pStyle w:val="Normal"/>
        <w:jc w:val="center"/>
        <w:rPr>
          <w:rFonts w:eastAsia="Calibri"/>
          <w:b/>
          <w:sz w:val="32"/>
          <w:szCs w:val="32"/>
        </w:rPr>
      </w:pPr>
      <w:r>
        <w:rPr>
          <w:rFonts w:eastAsia="Calibri"/>
          <w:b/>
          <w:sz w:val="32"/>
          <w:szCs w:val="32"/>
        </w:rPr>
      </w:r>
    </w:p>
    <w:p>
      <w:pPr>
        <w:pStyle w:val="Normal"/>
        <w:jc w:val="center"/>
        <w:rPr>
          <w:rFonts w:eastAsia="Calibri"/>
          <w:b/>
          <w:sz w:val="32"/>
          <w:szCs w:val="32"/>
        </w:rPr>
      </w:pPr>
      <w:r>
        <w:rPr>
          <w:rFonts w:eastAsia="Calibri"/>
          <w:b/>
          <w:sz w:val="32"/>
          <w:szCs w:val="32"/>
        </w:rPr>
      </w:r>
    </w:p>
    <w:p>
      <w:pPr>
        <w:pStyle w:val="Normal"/>
        <w:jc w:val="center"/>
        <w:rPr>
          <w:rFonts w:eastAsia="Calibri"/>
          <w:b/>
          <w:sz w:val="32"/>
          <w:szCs w:val="32"/>
        </w:rPr>
      </w:pPr>
      <w:r>
        <w:rPr>
          <w:rFonts w:eastAsia="Calibri"/>
          <w:b/>
          <w:sz w:val="32"/>
          <w:szCs w:val="32"/>
        </w:rPr>
      </w:r>
    </w:p>
    <w:p>
      <w:pPr>
        <w:pStyle w:val="Normal"/>
        <w:jc w:val="center"/>
        <w:rPr>
          <w:rFonts w:eastAsia="Calibri"/>
          <w:b/>
          <w:sz w:val="32"/>
          <w:szCs w:val="32"/>
        </w:rPr>
      </w:pPr>
      <w:r>
        <w:rPr>
          <w:rFonts w:eastAsia="Calibri"/>
          <w:b/>
          <w:sz w:val="32"/>
          <w:szCs w:val="32"/>
        </w:rPr>
      </w:r>
    </w:p>
    <w:p>
      <w:pPr>
        <w:pStyle w:val="Normal"/>
        <w:jc w:val="center"/>
        <w:rPr>
          <w:rFonts w:eastAsia="Calibri"/>
          <w:b/>
          <w:sz w:val="32"/>
          <w:szCs w:val="32"/>
        </w:rPr>
      </w:pPr>
      <w:r>
        <w:rPr>
          <w:rFonts w:eastAsia="Calibri"/>
          <w:b/>
          <w:sz w:val="32"/>
          <w:szCs w:val="32"/>
        </w:rPr>
      </w:r>
    </w:p>
    <w:p>
      <w:pPr>
        <w:pStyle w:val="Normal"/>
        <w:jc w:val="center"/>
        <w:rPr>
          <w:rFonts w:eastAsia="Calibri"/>
          <w:b/>
          <w:sz w:val="32"/>
          <w:szCs w:val="32"/>
        </w:rPr>
      </w:pPr>
      <w:r>
        <w:rPr>
          <w:rFonts w:eastAsia="Calibri"/>
          <w:b/>
          <w:sz w:val="32"/>
          <w:szCs w:val="32"/>
        </w:rPr>
      </w:r>
    </w:p>
    <w:p>
      <w:pPr>
        <w:pStyle w:val="Normal"/>
        <w:jc w:val="center"/>
        <w:rPr>
          <w:rFonts w:eastAsia="Calibri"/>
          <w:b/>
          <w:sz w:val="32"/>
          <w:szCs w:val="32"/>
        </w:rPr>
      </w:pPr>
      <w:r>
        <w:rPr>
          <w:rFonts w:eastAsia="Calibri"/>
          <w:b/>
          <w:sz w:val="32"/>
          <w:szCs w:val="32"/>
        </w:rPr>
      </w:r>
    </w:p>
    <w:p>
      <w:pPr>
        <w:pStyle w:val="Normal"/>
        <w:jc w:val="center"/>
        <w:rPr>
          <w:rFonts w:eastAsia="Calibri"/>
          <w:b/>
          <w:sz w:val="32"/>
          <w:szCs w:val="32"/>
        </w:rPr>
      </w:pPr>
      <w:r>
        <w:rPr>
          <w:rFonts w:eastAsia="Calibri"/>
          <w:b/>
          <w:sz w:val="32"/>
          <w:szCs w:val="32"/>
        </w:rPr>
      </w:r>
    </w:p>
    <w:p>
      <w:pPr>
        <w:pStyle w:val="Normal"/>
        <w:jc w:val="center"/>
        <w:rPr>
          <w:rFonts w:eastAsia="Calibri"/>
          <w:b/>
          <w:sz w:val="32"/>
          <w:szCs w:val="32"/>
        </w:rPr>
      </w:pPr>
      <w:r>
        <w:rPr>
          <w:rFonts w:eastAsia="Calibri"/>
          <w:b/>
          <w:sz w:val="32"/>
          <w:szCs w:val="32"/>
        </w:rPr>
      </w:r>
    </w:p>
    <w:p>
      <w:pPr>
        <w:pStyle w:val="Normal"/>
        <w:jc w:val="center"/>
        <w:rPr>
          <w:rFonts w:eastAsia="Calibri"/>
          <w:b/>
          <w:sz w:val="32"/>
          <w:szCs w:val="32"/>
        </w:rPr>
      </w:pPr>
      <w:r>
        <w:rPr>
          <w:rFonts w:eastAsia="Calibri"/>
          <w:b/>
          <w:sz w:val="32"/>
          <w:szCs w:val="32"/>
        </w:rPr>
      </w:r>
    </w:p>
    <w:p>
      <w:pPr>
        <w:pStyle w:val="Normal"/>
        <w:jc w:val="center"/>
        <w:rPr>
          <w:rFonts w:eastAsia="Calibri"/>
          <w:b/>
          <w:sz w:val="32"/>
          <w:szCs w:val="32"/>
        </w:rPr>
      </w:pPr>
      <w:r>
        <w:rPr>
          <w:rFonts w:eastAsia="Calibri"/>
          <w:b/>
          <w:sz w:val="32"/>
          <w:szCs w:val="32"/>
        </w:rPr>
      </w:r>
    </w:p>
    <w:p>
      <w:pPr>
        <w:pStyle w:val="Normal"/>
        <w:jc w:val="center"/>
        <w:rPr>
          <w:rFonts w:eastAsia="Calibri"/>
          <w:b/>
          <w:sz w:val="32"/>
          <w:szCs w:val="32"/>
        </w:rPr>
      </w:pPr>
      <w:r>
        <w:rPr>
          <w:rFonts w:eastAsia="Calibri"/>
          <w:b/>
          <w:sz w:val="32"/>
          <w:szCs w:val="32"/>
        </w:rPr>
      </w:r>
    </w:p>
    <w:p>
      <w:pPr>
        <w:pStyle w:val="Normal"/>
        <w:jc w:val="center"/>
        <w:rPr>
          <w:rFonts w:eastAsia="Calibri"/>
          <w:b/>
          <w:sz w:val="32"/>
          <w:szCs w:val="32"/>
        </w:rPr>
      </w:pPr>
      <w:r>
        <w:rPr>
          <w:rFonts w:eastAsia="Calibri"/>
          <w:b/>
          <w:sz w:val="32"/>
          <w:szCs w:val="32"/>
        </w:rPr>
      </w:r>
    </w:p>
    <w:p>
      <w:pPr>
        <w:pStyle w:val="Normal"/>
        <w:jc w:val="center"/>
        <w:rPr>
          <w:rFonts w:eastAsia="Calibri"/>
          <w:b/>
          <w:sz w:val="32"/>
          <w:szCs w:val="32"/>
        </w:rPr>
      </w:pPr>
      <w:r>
        <w:rPr>
          <w:rFonts w:eastAsia="Calibri"/>
          <w:b/>
          <w:sz w:val="32"/>
          <w:szCs w:val="32"/>
        </w:rPr>
      </w:r>
    </w:p>
    <w:p>
      <w:pPr>
        <w:pStyle w:val="Normal"/>
        <w:jc w:val="center"/>
        <w:rPr>
          <w:rFonts w:eastAsia="Calibri"/>
          <w:b/>
          <w:sz w:val="32"/>
          <w:szCs w:val="32"/>
        </w:rPr>
      </w:pPr>
      <w:r>
        <w:rPr>
          <w:rFonts w:eastAsia="Calibri"/>
          <w:b/>
          <w:sz w:val="32"/>
          <w:szCs w:val="32"/>
        </w:rPr>
      </w:r>
    </w:p>
    <w:p>
      <w:pPr>
        <w:pStyle w:val="Normal"/>
        <w:jc w:val="center"/>
        <w:rPr>
          <w:rFonts w:eastAsia="Calibri"/>
          <w:b/>
          <w:sz w:val="32"/>
          <w:szCs w:val="32"/>
        </w:rPr>
      </w:pPr>
      <w:r>
        <w:rPr>
          <w:rFonts w:eastAsia="Calibri"/>
          <w:b/>
          <w:sz w:val="32"/>
          <w:szCs w:val="32"/>
        </w:rPr>
      </w:r>
    </w:p>
    <w:p>
      <w:pPr>
        <w:pStyle w:val="Normal"/>
        <w:jc w:val="center"/>
        <w:rPr>
          <w:rFonts w:eastAsia="Calibri"/>
          <w:b/>
          <w:sz w:val="32"/>
          <w:szCs w:val="32"/>
        </w:rPr>
      </w:pPr>
      <w:r>
        <w:rPr>
          <w:rFonts w:eastAsia="Calibri"/>
          <w:b/>
          <w:sz w:val="32"/>
          <w:szCs w:val="32"/>
        </w:rPr>
      </w:r>
    </w:p>
    <w:p>
      <w:pPr>
        <w:pStyle w:val="Normal"/>
        <w:jc w:val="center"/>
        <w:rPr>
          <w:rFonts w:eastAsia="Calibri"/>
          <w:b/>
          <w:sz w:val="32"/>
          <w:szCs w:val="32"/>
        </w:rPr>
      </w:pPr>
      <w:r>
        <w:rPr>
          <w:rFonts w:eastAsia="Calibri"/>
          <w:b/>
          <w:sz w:val="32"/>
          <w:szCs w:val="32"/>
        </w:rPr>
      </w:r>
    </w:p>
    <w:p>
      <w:pPr>
        <w:pStyle w:val="Normal"/>
        <w:jc w:val="center"/>
        <w:rPr>
          <w:rFonts w:eastAsia="Calibri"/>
          <w:b/>
          <w:sz w:val="32"/>
          <w:szCs w:val="32"/>
        </w:rPr>
      </w:pPr>
      <w:r>
        <w:rPr>
          <w:rFonts w:eastAsia="Calibri"/>
          <w:b/>
          <w:sz w:val="32"/>
          <w:szCs w:val="32"/>
        </w:rPr>
      </w:r>
    </w:p>
    <w:p>
      <w:pPr>
        <w:pStyle w:val="Normal"/>
        <w:jc w:val="center"/>
        <w:rPr>
          <w:rFonts w:eastAsia="Calibri"/>
          <w:b/>
          <w:sz w:val="32"/>
          <w:szCs w:val="32"/>
        </w:rPr>
      </w:pPr>
      <w:r>
        <w:rPr>
          <w:rFonts w:eastAsia="Calibri"/>
          <w:b/>
          <w:sz w:val="32"/>
          <w:szCs w:val="32"/>
        </w:rPr>
      </w:r>
    </w:p>
    <w:p>
      <w:pPr>
        <w:pStyle w:val="Heading1"/>
        <w:numPr>
          <w:ilvl w:val="0"/>
          <w:numId w:val="3"/>
        </w:numPr>
        <w:ind w:left="0" w:hanging="0"/>
        <w:jc w:val="center"/>
        <w:rPr>
          <w:caps/>
        </w:rPr>
      </w:pPr>
      <w:bookmarkStart w:id="0" w:name="__RefHeading___Toc47653_2939175109"/>
      <w:bookmarkStart w:id="1" w:name="_Toc51921655"/>
      <w:bookmarkStart w:id="2" w:name="_Toc125123764"/>
      <w:bookmarkEnd w:id="0"/>
      <w:r>
        <w:rPr/>
        <w:t>Общие сведения</w:t>
      </w:r>
      <w:bookmarkEnd w:id="1"/>
      <w:bookmarkEnd w:id="2"/>
    </w:p>
    <w:p>
      <w:pPr>
        <w:pStyle w:val="Normal"/>
        <w:rPr>
          <w:rStyle w:val="Style8"/>
          <w:b w:val="false"/>
          <w:sz w:val="26"/>
          <w:szCs w:val="26"/>
        </w:rPr>
      </w:pPr>
      <w:r>
        <w:rPr>
          <w:b w:val="false"/>
          <w:sz w:val="26"/>
          <w:szCs w:val="26"/>
        </w:rPr>
      </w:r>
    </w:p>
    <w:p>
      <w:pPr>
        <w:pStyle w:val="Heading4"/>
        <w:numPr>
          <w:ilvl w:val="1"/>
          <w:numId w:val="3"/>
        </w:numPr>
        <w:ind w:left="709" w:hanging="709"/>
        <w:rPr>
          <w:sz w:val="28"/>
        </w:rPr>
      </w:pPr>
      <w:bookmarkStart w:id="3" w:name="__RefHeading___Toc47655_2939175109"/>
      <w:bookmarkStart w:id="4" w:name="_Toc125123765"/>
      <w:bookmarkEnd w:id="3"/>
      <w:r>
        <w:rPr/>
        <w:t>Обозначения и сокращения</w:t>
      </w:r>
      <w:bookmarkEnd w:id="4"/>
    </w:p>
    <w:p>
      <w:pPr>
        <w:pStyle w:val="Normal"/>
        <w:keepNext w:val="true"/>
        <w:keepLines/>
        <w:spacing w:before="120" w:after="120"/>
        <w:jc w:val="both"/>
        <w:rPr>
          <w:b/>
          <w:bCs/>
          <w:i/>
          <w:i/>
          <w:iCs/>
          <w:sz w:val="24"/>
          <w:szCs w:val="24"/>
          <w:u w:val="single"/>
        </w:rPr>
      </w:pPr>
      <w:r>
        <w:rPr>
          <w:b/>
          <w:bCs/>
          <w:i/>
          <w:iCs/>
          <w:sz w:val="24"/>
          <w:szCs w:val="24"/>
          <w:u w:val="single"/>
        </w:rPr>
      </w:r>
    </w:p>
    <w:tbl>
      <w:tblPr>
        <w:tblW w:w="9783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785"/>
        <w:gridCol w:w="7997"/>
      </w:tblGrid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rStyle w:val="Style8"/>
                <w:b w:val="false"/>
                <w:iCs/>
                <w:sz w:val="24"/>
                <w:szCs w:val="24"/>
                <w:shd w:fill="auto" w:val="clear"/>
              </w:rPr>
            </w:pPr>
            <w:r>
              <w:rPr>
                <w:i/>
                <w:iCs/>
                <w:sz w:val="24"/>
                <w:szCs w:val="24"/>
              </w:rPr>
              <w:t>СТО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rStyle w:val="Style8"/>
                <w:b w:val="false"/>
                <w:bCs/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Стандарт организации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rStyle w:val="Style8"/>
                <w:b w:val="false"/>
                <w:iCs/>
                <w:sz w:val="24"/>
                <w:szCs w:val="24"/>
                <w:shd w:fill="auto" w:val="clear"/>
              </w:rPr>
            </w:pPr>
            <w:r>
              <w:rPr>
                <w:i/>
                <w:iCs/>
                <w:sz w:val="24"/>
                <w:szCs w:val="24"/>
              </w:rPr>
              <w:t>ТТ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rStyle w:val="Style8"/>
                <w:b w:val="false"/>
                <w:bCs/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Технические требования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i/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ГЭС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Гидроэлектростанция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i/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НТД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Нормативно-технический документ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i/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ППР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 производства работ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i/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ТК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Технологическая карта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i/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ПС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Подъёмное сооружение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i/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РТН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Ростехнадзор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i/>
                <w:i/>
                <w:iCs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ПДЭК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Постоянно действующая экзаменационная комиссия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i/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ОТ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Охрана труда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i/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КРУЭ</w:t>
            </w:r>
          </w:p>
        </w:tc>
        <w:tc>
          <w:tcPr>
            <w:tcW w:w="7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iCs/>
                <w:color w:val="000000"/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t>Комплектное распределительное устройство с элегазовой изоляцией</w:t>
            </w:r>
          </w:p>
        </w:tc>
      </w:tr>
    </w:tbl>
    <w:p>
      <w:pPr>
        <w:pStyle w:val="Normal"/>
        <w:keepNext w:val="true"/>
        <w:keepLines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jc w:val="both"/>
        <w:rPr>
          <w:i/>
          <w:i/>
          <w:iCs/>
          <w:sz w:val="24"/>
          <w:szCs w:val="24"/>
        </w:rPr>
      </w:pPr>
      <w:r>
        <w:rPr>
          <w:i/>
          <w:iCs/>
          <w:sz w:val="24"/>
          <w:szCs w:val="24"/>
        </w:rPr>
      </w:r>
    </w:p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  <w:r>
        <w:br w:type="page"/>
      </w:r>
    </w:p>
    <w:p>
      <w:pPr>
        <w:pStyle w:val="Heading4"/>
        <w:numPr>
          <w:ilvl w:val="1"/>
          <w:numId w:val="3"/>
        </w:numPr>
        <w:ind w:left="709" w:hanging="709"/>
        <w:rPr/>
      </w:pPr>
      <w:bookmarkStart w:id="5" w:name="__RefHeading___Toc47657_2939175109"/>
      <w:bookmarkStart w:id="6" w:name="_Toc125123766"/>
      <w:bookmarkEnd w:id="5"/>
      <w:r>
        <w:rPr/>
        <w:t>Наименование закупаемой продукции</w:t>
      </w:r>
      <w:bookmarkEnd w:id="6"/>
    </w:p>
    <w:p>
      <w:pPr>
        <w:pStyle w:val="Normal"/>
        <w:jc w:val="left"/>
        <w:rPr/>
      </w:pPr>
      <w:r>
        <w:rPr>
          <w:rFonts w:eastAsia="Calibri"/>
          <w:iCs/>
          <w:sz w:val="26"/>
          <w:szCs w:val="26"/>
        </w:rPr>
        <w:t>ОКПД2 43.29.12 Выполнение работ по монтажу инженерных заграждений и сооружений для нужд Волжского филиала АО «Гидроремонт-ВКК».</w:t>
      </w:r>
    </w:p>
    <w:p>
      <w:pPr>
        <w:pStyle w:val="Heading4"/>
        <w:numPr>
          <w:ilvl w:val="1"/>
          <w:numId w:val="3"/>
        </w:numPr>
        <w:ind w:left="709" w:hanging="709"/>
        <w:rPr>
          <w:lang w:val="ru-RU"/>
        </w:rPr>
      </w:pPr>
      <w:bookmarkStart w:id="7" w:name="__RefHeading___Toc47659_2939175109"/>
      <w:bookmarkStart w:id="8" w:name="_Toc125123767"/>
      <w:bookmarkEnd w:id="7"/>
      <w:r>
        <w:rPr/>
        <w:t xml:space="preserve">Цель </w:t>
      </w:r>
      <w:r>
        <w:rPr>
          <w:lang w:val="ru-RU"/>
        </w:rPr>
        <w:t>выполнения работ</w:t>
      </w:r>
      <w:bookmarkEnd w:id="8"/>
      <w:r>
        <w:rPr>
          <w:lang w:val="ru-RU"/>
        </w:rPr>
        <w:t xml:space="preserve"> 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Работы выполняются в рамках реализации проекта № 1050-71-2024/9-ТПиР-БЕЗ-2024  от 21.08.2024г. «Выполнение работ по разработке рабочей документации по созданию комплекса инженерно-технических средств защиты КРУЭ-500 кВ, монтажу и наладке систем безопасности КРУЭ-500 кВ Волжской ГЭС»</w:t>
      </w:r>
    </w:p>
    <w:p>
      <w:pPr>
        <w:pStyle w:val="Heading4"/>
        <w:numPr>
          <w:ilvl w:val="1"/>
          <w:numId w:val="3"/>
        </w:numPr>
        <w:ind w:left="709" w:hanging="709"/>
        <w:rPr>
          <w:b w:val="false"/>
          <w:i/>
          <w:i/>
          <w:iCs/>
          <w:shd w:fill="FFFF99" w:val="clear"/>
        </w:rPr>
      </w:pPr>
      <w:bookmarkStart w:id="9" w:name="__RefHeading___Toc47661_2939175109"/>
      <w:bookmarkStart w:id="10" w:name="_Hlk48661047"/>
      <w:bookmarkStart w:id="11" w:name="_Toc125123768"/>
      <w:bookmarkEnd w:id="9"/>
      <w:r>
        <w:rPr/>
        <w:t>Существующее положение</w:t>
      </w:r>
      <w:bookmarkEnd w:id="11"/>
      <w:r>
        <w:rPr>
          <w:lang w:val="ru-RU"/>
        </w:rPr>
        <w:t xml:space="preserve"> </w:t>
      </w:r>
      <w:bookmarkEnd w:id="10"/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КРУЭ-500 кВ представляет собой отдельно стоящее здание на верхнем бьефе грунтовой плотины №40 Волжской ГЭС.</w:t>
      </w:r>
    </w:p>
    <w:p>
      <w:pPr>
        <w:pStyle w:val="ListParagraph"/>
        <w:jc w:val="both"/>
        <w:rPr>
          <w:bCs/>
        </w:rPr>
      </w:pPr>
      <w:r>
        <w:rPr>
          <w:bCs/>
        </w:rPr>
      </w:r>
    </w:p>
    <w:p>
      <w:pPr>
        <w:pStyle w:val="Style28"/>
        <w:numPr>
          <w:ilvl w:val="0"/>
          <w:numId w:val="0"/>
        </w:numPr>
        <w:ind w:left="0" w:hanging="0"/>
        <w:jc w:val="left"/>
        <w:outlineLvl w:val="0"/>
        <w:rPr/>
      </w:pPr>
      <w:bookmarkStart w:id="12" w:name="__RefHeading___Toc47663_2939175109"/>
      <w:bookmarkStart w:id="13" w:name="_Toc125123769"/>
      <w:bookmarkEnd w:id="12"/>
      <w:r>
        <w:rPr/>
        <w:t>Таблица 1. Перечень объектов заказчика</w:t>
      </w:r>
      <w:bookmarkEnd w:id="13"/>
    </w:p>
    <w:tbl>
      <w:tblPr>
        <w:tblW w:w="10063" w:type="dxa"/>
        <w:jc w:val="left"/>
        <w:tblInd w:w="226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811"/>
        <w:gridCol w:w="2160"/>
        <w:gridCol w:w="3685"/>
        <w:gridCol w:w="3406"/>
      </w:tblGrid>
      <w:tr>
        <w:trPr/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объекта</w:t>
            </w:r>
          </w:p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Расположение объекта </w:t>
              <w:br/>
              <w:t>(место производства работ)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основного средства </w:t>
              <w:br/>
              <w:t>(в отношении которого выполняются работы)</w:t>
            </w:r>
          </w:p>
        </w:tc>
      </w:tr>
      <w:tr>
        <w:trPr/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>
        <w:trPr>
          <w:trHeight w:val="677" w:hRule="atLeast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rPr>
                <w:i/>
                <w:i/>
                <w:iCs/>
              </w:rPr>
            </w:pPr>
            <w:r>
              <w:rPr>
                <w:i/>
                <w:iCs/>
              </w:rPr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Периметральное ограждение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Филиал ПАО «РусГидро»-«Волжская ГЭС им. Ф.Г. Логинова» Российская Федерация, 404130, Волгоградская обл., г. Волжский, пр-т Ленина, д. 1А.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Здание КРУЭ-500кВ</w:t>
            </w:r>
          </w:p>
        </w:tc>
      </w:tr>
    </w:tbl>
    <w:p>
      <w:pPr>
        <w:pStyle w:val="ListParagraph"/>
        <w:widowControl w:val="false"/>
        <w:tabs>
          <w:tab w:val="clear" w:pos="708"/>
          <w:tab w:val="left" w:pos="426" w:leader="none"/>
        </w:tabs>
        <w:spacing w:before="0" w:after="0"/>
        <w:contextualSpacing w:val="false"/>
        <w:jc w:val="both"/>
        <w:rPr>
          <w:rStyle w:val="Style8"/>
          <w:b w:val="false"/>
          <w:iCs/>
          <w:sz w:val="26"/>
          <w:szCs w:val="26"/>
        </w:rPr>
      </w:pPr>
      <w:r>
        <w:rPr>
          <w:b w:val="false"/>
          <w:iCs/>
          <w:sz w:val="26"/>
          <w:szCs w:val="26"/>
        </w:rPr>
      </w:r>
    </w:p>
    <w:p>
      <w:pPr>
        <w:pStyle w:val="Normal"/>
        <w:jc w:val="both"/>
        <w:rPr>
          <w:iCs/>
          <w:sz w:val="24"/>
          <w:szCs w:val="24"/>
        </w:rPr>
      </w:pPr>
      <w:r>
        <w:rPr>
          <w:i/>
          <w:iCs/>
          <w:sz w:val="24"/>
          <w:szCs w:val="24"/>
        </w:rPr>
        <w:t xml:space="preserve"> </w:t>
      </w:r>
      <w:r>
        <w:rPr>
          <w:iCs/>
          <w:sz w:val="24"/>
          <w:szCs w:val="24"/>
        </w:rPr>
        <w:t>Производство работ по устройству металлического сетчатого ограждения осуществляется:</w:t>
      </w:r>
    </w:p>
    <w:p>
      <w:pPr>
        <w:pStyle w:val="Normal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- вблизи объектов, находящихся под напряжением;</w:t>
      </w:r>
    </w:p>
    <w:p>
      <w:pPr>
        <w:pStyle w:val="Normal"/>
        <w:jc w:val="both"/>
        <w:rPr>
          <w:sz w:val="24"/>
          <w:szCs w:val="24"/>
        </w:rPr>
      </w:pPr>
      <w:r>
        <w:rPr>
          <w:iCs/>
          <w:sz w:val="24"/>
          <w:szCs w:val="24"/>
        </w:rPr>
        <w:t xml:space="preserve">- </w:t>
      </w:r>
      <w:r>
        <w:rPr>
          <w:iCs/>
          <w:color w:val="000000"/>
          <w:sz w:val="24"/>
          <w:szCs w:val="24"/>
        </w:rPr>
        <w:t>р</w:t>
      </w:r>
      <w:r>
        <w:rPr>
          <w:color w:val="000000"/>
          <w:sz w:val="24"/>
          <w:szCs w:val="24"/>
        </w:rPr>
        <w:t>азветвленной сети транспортных и инженерных коммуникаций;</w:t>
      </w:r>
    </w:p>
    <w:p>
      <w:pPr>
        <w:pStyle w:val="Normal"/>
        <w:rPr>
          <w:sz w:val="24"/>
          <w:szCs w:val="24"/>
        </w:rPr>
      </w:pPr>
      <w:r>
        <w:rPr>
          <w:color w:val="000000"/>
          <w:sz w:val="24"/>
          <w:szCs w:val="24"/>
        </w:rPr>
        <w:t>- стесненных условий для складирования материалов;</w:t>
      </w:r>
    </w:p>
    <w:p>
      <w:pPr>
        <w:pStyle w:val="Normal"/>
        <w:rPr>
          <w:sz w:val="24"/>
          <w:szCs w:val="24"/>
        </w:rPr>
      </w:pPr>
      <w:r>
        <w:rPr>
          <w:color w:val="000000"/>
          <w:sz w:val="24"/>
          <w:szCs w:val="24"/>
        </w:rPr>
        <w:t>- действующего технологического оборудования.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Heading4"/>
        <w:numPr>
          <w:ilvl w:val="1"/>
          <w:numId w:val="3"/>
        </w:numPr>
        <w:ind w:left="709" w:hanging="709"/>
        <w:rPr/>
      </w:pPr>
      <w:bookmarkStart w:id="14" w:name="__RefHeading___Toc47665_2939175109"/>
      <w:bookmarkStart w:id="15" w:name="_Toc125123770"/>
      <w:bookmarkStart w:id="16" w:name="_Toc51955688"/>
      <w:bookmarkStart w:id="17" w:name="_Toc51955853"/>
      <w:bookmarkStart w:id="18" w:name="_Toc51955801"/>
      <w:bookmarkStart w:id="19" w:name="_Toc51955854"/>
      <w:bookmarkStart w:id="20" w:name="_Toc51955805"/>
      <w:bookmarkStart w:id="21" w:name="_Toc51955741"/>
      <w:bookmarkStart w:id="22" w:name="_Toc51955692"/>
      <w:bookmarkStart w:id="23" w:name="_Toc51921829"/>
      <w:bookmarkStart w:id="24" w:name="_Toc51955804"/>
      <w:bookmarkStart w:id="25" w:name="_Toc51955740"/>
      <w:bookmarkStart w:id="26" w:name="_Toc51955691"/>
      <w:bookmarkStart w:id="27" w:name="_Toc51921828"/>
      <w:bookmarkStart w:id="28" w:name="_Toc51955684"/>
      <w:bookmarkStart w:id="29" w:name="_Toc51955739"/>
      <w:bookmarkStart w:id="30" w:name="_Toc51955690"/>
      <w:bookmarkStart w:id="31" w:name="_Toc51921827"/>
      <w:bookmarkStart w:id="32" w:name="_Toc51955851"/>
      <w:bookmarkStart w:id="33" w:name="_Toc51955802"/>
      <w:bookmarkStart w:id="34" w:name="_Toc51955738"/>
      <w:bookmarkStart w:id="35" w:name="_Toc51955689"/>
      <w:bookmarkStart w:id="36" w:name="_Toc51955852"/>
      <w:bookmarkStart w:id="37" w:name="_Toc51955850"/>
      <w:bookmarkStart w:id="38" w:name="_Toc51921826"/>
      <w:bookmarkStart w:id="39" w:name="_Toc51955735"/>
      <w:bookmarkStart w:id="40" w:name="_Toc51955686"/>
      <w:bookmarkStart w:id="41" w:name="_Toc51955803"/>
      <w:bookmarkStart w:id="42" w:name="_Toc51955737"/>
      <w:bookmarkStart w:id="43" w:name="_Toc51955799"/>
      <w:bookmarkStart w:id="44" w:name="_Toc51955848"/>
      <w:bookmarkStart w:id="45" w:name="_Toc51921824"/>
      <w:bookmarkStart w:id="46" w:name="_Toc51955687"/>
      <w:bookmarkStart w:id="47" w:name="_Toc51955736"/>
      <w:bookmarkStart w:id="48" w:name="_Toc51955800"/>
      <w:bookmarkStart w:id="49" w:name="_Toc51955849"/>
      <w:bookmarkStart w:id="50" w:name="_Toc51921823"/>
      <w:bookmarkStart w:id="51" w:name="_Toc51955733"/>
      <w:bookmarkStart w:id="52" w:name="_Toc51921821"/>
      <w:bookmarkStart w:id="53" w:name="_Toc51955797"/>
      <w:bookmarkStart w:id="54" w:name="_Toc51955846"/>
      <w:bookmarkStart w:id="55" w:name="_Toc51921822"/>
      <w:bookmarkStart w:id="56" w:name="_Toc51955685"/>
      <w:bookmarkStart w:id="57" w:name="_Toc51955734"/>
      <w:bookmarkStart w:id="58" w:name="_Toc51955798"/>
      <w:bookmarkStart w:id="59" w:name="_Toc51955847"/>
      <w:bookmarkStart w:id="60" w:name="_Toc51921825"/>
      <w:bookmarkEnd w:id="14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r>
        <w:rPr/>
        <w:t xml:space="preserve">Информация в отношении исполнения договора, </w:t>
      </w:r>
      <w:bookmarkStart w:id="61" w:name="_Hlk46492347"/>
      <w:r>
        <w:rPr/>
        <w:t xml:space="preserve">которая должна быть учтена при подготовке заявки </w:t>
      </w:r>
      <w:bookmarkEnd w:id="61"/>
      <w:r>
        <w:rPr/>
        <w:t>(в том числе перечень ресурсов, услуг и документов, предоставляемых заказчиком на этапе исполнения договора)</w:t>
      </w:r>
      <w:bookmarkEnd w:id="15"/>
      <w:r>
        <w:rPr>
          <w:lang w:val="ru-RU"/>
        </w:rPr>
        <w:t xml:space="preserve"> 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0" w:after="120"/>
        <w:contextualSpacing/>
        <w:jc w:val="both"/>
        <w:rPr>
          <w:iCs/>
          <w:sz w:val="24"/>
          <w:szCs w:val="24"/>
        </w:rPr>
      </w:pPr>
      <w:bookmarkStart w:id="62" w:name="_Hlk48209615"/>
      <w:bookmarkEnd w:id="62"/>
      <w:r>
        <w:rPr>
          <w:i/>
          <w:iCs/>
          <w:sz w:val="24"/>
          <w:szCs w:val="24"/>
        </w:rPr>
        <w:t xml:space="preserve"> </w:t>
      </w:r>
      <w:r>
        <w:rPr>
          <w:i w:val="false"/>
          <w:iCs w:val="false"/>
          <w:sz w:val="24"/>
          <w:szCs w:val="24"/>
        </w:rPr>
        <w:t>Генеральный п</w:t>
      </w:r>
      <w:r>
        <w:rPr>
          <w:sz w:val="24"/>
          <w:szCs w:val="24"/>
        </w:rPr>
        <w:t xml:space="preserve">одрядчик </w:t>
      </w:r>
      <w:r>
        <w:rPr>
          <w:iCs/>
          <w:sz w:val="24"/>
          <w:szCs w:val="24"/>
        </w:rPr>
        <w:t xml:space="preserve">предоставляет субподрядчику на время производства работ безвозмездно: </w:t>
      </w:r>
    </w:p>
    <w:p>
      <w:pPr>
        <w:pStyle w:val="ListParagraph"/>
        <w:widowControl w:val="false"/>
        <w:numPr>
          <w:ilvl w:val="0"/>
          <w:numId w:val="12"/>
        </w:numPr>
        <w:tabs>
          <w:tab w:val="clear" w:pos="708"/>
          <w:tab w:val="left" w:pos="426" w:leader="none"/>
        </w:tabs>
        <w:spacing w:before="0" w:after="120"/>
        <w:contextualSpacing/>
        <w:jc w:val="both"/>
        <w:rPr>
          <w:rFonts w:eastAsia="Times New Roman"/>
          <w:iCs/>
        </w:rPr>
      </w:pPr>
      <w:r>
        <w:rPr>
          <w:rFonts w:eastAsia="Times New Roman"/>
          <w:iCs/>
        </w:rPr>
        <w:t>Следующие виды ресурсов:</w:t>
      </w:r>
    </w:p>
    <w:p>
      <w:pPr>
        <w:pStyle w:val="ListParagraph"/>
        <w:widowControl w:val="false"/>
        <w:numPr>
          <w:ilvl w:val="1"/>
          <w:numId w:val="12"/>
        </w:numPr>
        <w:tabs>
          <w:tab w:val="clear" w:pos="708"/>
          <w:tab w:val="left" w:pos="426" w:leader="none"/>
        </w:tabs>
        <w:spacing w:before="0" w:after="120"/>
        <w:contextualSpacing/>
        <w:jc w:val="both"/>
        <w:rPr>
          <w:rFonts w:eastAsia="Times New Roman"/>
          <w:iCs/>
        </w:rPr>
      </w:pPr>
      <w:r>
        <w:rPr>
          <w:rFonts w:eastAsia="Times New Roman"/>
          <w:iCs/>
        </w:rPr>
        <w:t>Электроэнергия;</w:t>
      </w:r>
    </w:p>
    <w:p>
      <w:pPr>
        <w:pStyle w:val="ListParagraph"/>
        <w:widowControl w:val="false"/>
        <w:numPr>
          <w:ilvl w:val="1"/>
          <w:numId w:val="12"/>
        </w:numPr>
        <w:tabs>
          <w:tab w:val="clear" w:pos="708"/>
          <w:tab w:val="left" w:pos="426" w:leader="none"/>
        </w:tabs>
        <w:spacing w:before="0" w:after="120"/>
        <w:contextualSpacing/>
        <w:jc w:val="both"/>
        <w:rPr>
          <w:rFonts w:eastAsia="Times New Roman"/>
          <w:iCs/>
        </w:rPr>
      </w:pPr>
      <w:r>
        <w:rPr>
          <w:rFonts w:eastAsia="Times New Roman"/>
          <w:iCs/>
        </w:rPr>
        <w:t>Вода.</w:t>
      </w:r>
    </w:p>
    <w:p>
      <w:pPr>
        <w:pStyle w:val="ListParagraph"/>
        <w:widowControl w:val="false"/>
        <w:numPr>
          <w:ilvl w:val="0"/>
          <w:numId w:val="12"/>
        </w:numPr>
        <w:tabs>
          <w:tab w:val="clear" w:pos="708"/>
          <w:tab w:val="left" w:pos="426" w:leader="none"/>
        </w:tabs>
        <w:spacing w:before="0" w:after="120"/>
        <w:contextualSpacing/>
        <w:jc w:val="both"/>
        <w:rPr>
          <w:iCs/>
        </w:rPr>
      </w:pPr>
      <w:r>
        <w:rPr>
          <w:rFonts w:eastAsia="Times New Roman"/>
          <w:iCs/>
        </w:rPr>
        <w:t>Материалы:</w:t>
      </w:r>
    </w:p>
    <w:p>
      <w:pPr>
        <w:pStyle w:val="ListParagraph"/>
        <w:widowControl w:val="false"/>
        <w:numPr>
          <w:ilvl w:val="1"/>
          <w:numId w:val="12"/>
        </w:numPr>
        <w:tabs>
          <w:tab w:val="clear" w:pos="708"/>
          <w:tab w:val="left" w:pos="426" w:leader="none"/>
        </w:tabs>
        <w:spacing w:before="0" w:after="120"/>
        <w:contextualSpacing/>
        <w:jc w:val="both"/>
        <w:rPr>
          <w:iCs/>
        </w:rPr>
      </w:pPr>
      <w:r>
        <w:rPr>
          <w:iCs/>
        </w:rPr>
        <w:t>В соответствии с ведомостью объемов работ (</w:t>
      </w:r>
      <w:hyperlink w:anchor="Приложение_№_1_">
        <w:r>
          <w:rPr>
            <w:rStyle w:val="Hyperlink"/>
            <w:iCs/>
          </w:rPr>
          <w:t>Приложение №1</w:t>
        </w:r>
      </w:hyperlink>
      <w:r>
        <w:rPr>
          <w:iCs/>
        </w:rPr>
        <w:t xml:space="preserve"> к настоящим Техническим требованиям).</w:t>
      </w:r>
    </w:p>
    <w:p>
      <w:pPr>
        <w:pStyle w:val="ListParagraph"/>
        <w:widowControl w:val="false"/>
        <w:tabs>
          <w:tab w:val="clear" w:pos="708"/>
          <w:tab w:val="left" w:pos="426" w:leader="none"/>
        </w:tabs>
        <w:spacing w:before="0" w:after="120"/>
        <w:ind w:left="792" w:hanging="0"/>
        <w:contextualSpacing/>
        <w:jc w:val="both"/>
        <w:rPr>
          <w:iCs/>
        </w:rPr>
      </w:pPr>
      <w:r>
        <w:rPr>
          <w:iCs/>
        </w:rPr>
        <w:t>Материалы передаются Субподрядчику по накладным М-15 по письменной заявке и учитываются в сметном расчете как давальческие с нулевой стоимостью.</w:t>
      </w:r>
    </w:p>
    <w:p>
      <w:pPr>
        <w:pStyle w:val="ListParagraph"/>
        <w:widowControl w:val="false"/>
        <w:numPr>
          <w:ilvl w:val="0"/>
          <w:numId w:val="12"/>
        </w:numPr>
        <w:tabs>
          <w:tab w:val="clear" w:pos="708"/>
          <w:tab w:val="left" w:pos="426" w:leader="none"/>
        </w:tabs>
        <w:spacing w:before="0" w:after="120"/>
        <w:contextualSpacing/>
        <w:jc w:val="both"/>
        <w:rPr/>
      </w:pPr>
      <w:r>
        <w:rPr>
          <w:iCs/>
        </w:rPr>
        <w:t>Площади для складирования материалов.</w:t>
      </w:r>
    </w:p>
    <w:p>
      <w:pPr>
        <w:pStyle w:val="Normal"/>
        <w:rPr>
          <w:rStyle w:val="Style8"/>
          <w:b w:val="false"/>
          <w:iCs/>
          <w:sz w:val="2"/>
          <w:szCs w:val="24"/>
        </w:rPr>
      </w:pPr>
      <w:r>
        <w:rPr>
          <w:b w:val="false"/>
          <w:iCs/>
          <w:sz w:val="2"/>
          <w:szCs w:val="24"/>
        </w:rPr>
      </w:r>
      <w:bookmarkStart w:id="63" w:name="_Hlk482096151"/>
      <w:bookmarkStart w:id="64" w:name="_Hlk48209761"/>
      <w:bookmarkStart w:id="65" w:name="_Hlk482096151"/>
      <w:bookmarkStart w:id="66" w:name="_Hlk48209761"/>
      <w:bookmarkEnd w:id="65"/>
      <w:bookmarkEnd w:id="66"/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120"/>
        <w:jc w:val="both"/>
        <w:rPr>
          <w:rStyle w:val="Style8"/>
          <w:b w:val="false"/>
          <w:bCs/>
          <w:sz w:val="26"/>
          <w:szCs w:val="26"/>
        </w:rPr>
      </w:pPr>
      <w:r>
        <w:rPr>
          <w:b w:val="false"/>
          <w:bCs/>
          <w:sz w:val="26"/>
          <w:szCs w:val="26"/>
        </w:rPr>
      </w:r>
      <w:r>
        <w:br w:type="page"/>
      </w:r>
    </w:p>
    <w:p>
      <w:pPr>
        <w:pStyle w:val="Heading1"/>
        <w:numPr>
          <w:ilvl w:val="0"/>
          <w:numId w:val="3"/>
        </w:numPr>
        <w:ind w:left="0" w:hanging="0"/>
        <w:jc w:val="center"/>
        <w:rPr>
          <w:caps/>
        </w:rPr>
      </w:pPr>
      <w:bookmarkStart w:id="67" w:name="__RefHeading___Toc47667_2939175109"/>
      <w:bookmarkStart w:id="68" w:name="_Toc125123771"/>
      <w:bookmarkStart w:id="69" w:name="_Toc51921656"/>
      <w:bookmarkEnd w:id="67"/>
      <w:r>
        <w:rPr/>
        <w:t>Требования к продукции</w:t>
      </w:r>
      <w:bookmarkEnd w:id="68"/>
      <w:bookmarkEnd w:id="69"/>
    </w:p>
    <w:p>
      <w:pPr>
        <w:pStyle w:val="Heading4"/>
        <w:numPr>
          <w:ilvl w:val="1"/>
          <w:numId w:val="3"/>
        </w:numPr>
        <w:ind w:left="709" w:hanging="709"/>
        <w:rPr/>
      </w:pPr>
      <w:bookmarkStart w:id="70" w:name="__RefHeading___Toc47669_2939175109"/>
      <w:bookmarkStart w:id="71" w:name="_Toc125123772"/>
      <w:bookmarkEnd w:id="70"/>
      <w:r>
        <w:rPr/>
        <w:t>Требования к объемам и срокам выполнения работ</w:t>
      </w:r>
      <w:bookmarkEnd w:id="71"/>
    </w:p>
    <w:p>
      <w:pPr>
        <w:pStyle w:val="Heading3"/>
        <w:numPr>
          <w:ilvl w:val="2"/>
          <w:numId w:val="3"/>
        </w:numPr>
        <w:ind w:left="709" w:hanging="709"/>
        <w:rPr/>
      </w:pPr>
      <w:bookmarkStart w:id="72" w:name="__RefHeading___Toc47671_2939175109"/>
      <w:bookmarkStart w:id="73" w:name="_Toc125123773"/>
      <w:bookmarkStart w:id="74" w:name="_Toc51921657"/>
      <w:bookmarkEnd w:id="72"/>
      <w:r>
        <w:rPr/>
        <w:t>Требования к видам и объемам работ</w:t>
      </w:r>
      <w:bookmarkEnd w:id="73"/>
      <w:bookmarkEnd w:id="74"/>
    </w:p>
    <w:p>
      <w:pPr>
        <w:pStyle w:val="Style28"/>
        <w:numPr>
          <w:ilvl w:val="0"/>
          <w:numId w:val="0"/>
        </w:numPr>
        <w:ind w:left="0" w:hanging="0"/>
        <w:jc w:val="left"/>
        <w:outlineLvl w:val="0"/>
        <w:rPr>
          <w:lang w:val="ru-RU"/>
        </w:rPr>
      </w:pPr>
      <w:bookmarkStart w:id="75" w:name="__RefHeading___Toc47673_2939175109"/>
      <w:bookmarkStart w:id="76" w:name="_Toc51921658"/>
      <w:bookmarkStart w:id="77" w:name="_Toc125123774"/>
      <w:bookmarkStart w:id="78" w:name="_Toc35351358"/>
      <w:bookmarkEnd w:id="75"/>
      <w:r>
        <w:rPr/>
        <w:t>Таблица</w:t>
      </w:r>
      <w:r>
        <w:rPr>
          <w:lang w:val="ru-RU"/>
        </w:rPr>
        <w:t> 2</w:t>
      </w:r>
      <w:r>
        <w:rPr/>
        <w:t xml:space="preserve">. </w:t>
      </w:r>
      <w:bookmarkEnd w:id="78"/>
      <w:r>
        <w:rPr>
          <w:lang w:val="ru-RU"/>
        </w:rPr>
        <w:t>Перечень и объем выполняемых работ</w:t>
      </w:r>
      <w:bookmarkEnd w:id="76"/>
      <w:bookmarkEnd w:id="77"/>
    </w:p>
    <w:tbl>
      <w:tblPr>
        <w:tblW w:w="9698" w:type="dxa"/>
        <w:jc w:val="left"/>
        <w:tblInd w:w="3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738"/>
        <w:gridCol w:w="4111"/>
        <w:gridCol w:w="2697"/>
        <w:gridCol w:w="2151"/>
      </w:tblGrid>
      <w:tr>
        <w:trPr/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работ / этапа работ</w:t>
            </w: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</w:p>
        </w:tc>
      </w:tr>
      <w:tr>
        <w:trPr/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>
        <w:trPr/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13"/>
              </w:numPr>
              <w:rPr>
                <w:i/>
                <w:i/>
                <w:iCs/>
              </w:rPr>
            </w:pPr>
            <w:r>
              <w:rPr>
                <w:i/>
                <w:iCs/>
              </w:rPr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ОКПД2 43.29.12 Выполнение работ по монтажу инженерных заграждений и сооружений для нужд Волжского филиала АО «Гидроремонт-ВКК».</w:t>
            </w:r>
          </w:p>
        </w:tc>
        <w:tc>
          <w:tcPr>
            <w:tcW w:w="4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В соответствии с ведомостью объемов работ (</w:t>
            </w:r>
            <w:hyperlink w:anchor="Приложение_№_1_">
              <w:r>
                <w:rPr>
                  <w:rStyle w:val="Hyperlink"/>
                  <w:iCs/>
                  <w:sz w:val="24"/>
                  <w:szCs w:val="24"/>
                </w:rPr>
                <w:t>Приложение №1</w:t>
              </w:r>
            </w:hyperlink>
            <w:r>
              <w:rPr>
                <w:iCs/>
                <w:sz w:val="24"/>
                <w:szCs w:val="24"/>
              </w:rPr>
              <w:t xml:space="preserve"> к настоящим Техническим требованиям)</w:t>
            </w:r>
          </w:p>
        </w:tc>
      </w:tr>
    </w:tbl>
    <w:p>
      <w:pPr>
        <w:pStyle w:val="Style28"/>
        <w:numPr>
          <w:ilvl w:val="0"/>
          <w:numId w:val="0"/>
        </w:numPr>
        <w:ind w:left="0" w:hanging="0"/>
        <w:jc w:val="left"/>
        <w:outlineLvl w:val="0"/>
        <w:rPr>
          <w:lang w:val="ru-RU"/>
        </w:rPr>
      </w:pPr>
      <w:r>
        <w:rPr>
          <w:lang w:val="ru-RU"/>
        </w:rPr>
      </w:r>
    </w:p>
    <w:p>
      <w:pPr>
        <w:pStyle w:val="Heading3"/>
        <w:numPr>
          <w:ilvl w:val="2"/>
          <w:numId w:val="3"/>
        </w:numPr>
        <w:ind w:left="709" w:hanging="709"/>
        <w:rPr/>
      </w:pPr>
      <w:bookmarkStart w:id="79" w:name="__RefHeading___Toc47675_2939175109"/>
      <w:bookmarkStart w:id="80" w:name="_Toc125123775"/>
      <w:bookmarkStart w:id="81" w:name="_Toc51921659"/>
      <w:bookmarkEnd w:id="79"/>
      <w:r>
        <w:rPr/>
        <w:t>Требования к срокам выполнения работ</w:t>
      </w:r>
      <w:bookmarkStart w:id="82" w:name="_Toc51921660"/>
      <w:bookmarkEnd w:id="80"/>
      <w:bookmarkEnd w:id="81"/>
    </w:p>
    <w:p>
      <w:pPr>
        <w:pStyle w:val="Style28"/>
        <w:numPr>
          <w:ilvl w:val="0"/>
          <w:numId w:val="0"/>
        </w:numPr>
        <w:ind w:left="0" w:hanging="0"/>
        <w:jc w:val="left"/>
        <w:outlineLvl w:val="0"/>
        <w:rPr/>
      </w:pPr>
      <w:bookmarkStart w:id="83" w:name="__RefHeading___Toc47677_2939175109"/>
      <w:bookmarkStart w:id="84" w:name="_Toc125123776"/>
      <w:bookmarkEnd w:id="83"/>
      <w:r>
        <w:rPr/>
        <w:t>Таблица 3. Требования по срокам выполнения работ</w:t>
      </w:r>
      <w:bookmarkEnd w:id="82"/>
      <w:bookmarkEnd w:id="84"/>
    </w:p>
    <w:p>
      <w:pPr>
        <w:pStyle w:val="Normal"/>
        <w:widowControl w:val="false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</w:r>
    </w:p>
    <w:tbl>
      <w:tblPr>
        <w:tblW w:w="9805" w:type="dxa"/>
        <w:jc w:val="left"/>
        <w:tblInd w:w="226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257"/>
        <w:gridCol w:w="3416"/>
        <w:gridCol w:w="2227"/>
        <w:gridCol w:w="2904"/>
      </w:tblGrid>
      <w:tr>
        <w:trPr/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r>
              <w:rPr>
                <w:sz w:val="22"/>
                <w:szCs w:val="22"/>
              </w:rPr>
              <w:t>п/п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работ/ этапа работ</w:t>
            </w:r>
          </w:p>
        </w:tc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9"/>
              <w:keepNext w:val="false"/>
              <w:widowControl w:val="false"/>
              <w:spacing w:before="40" w:after="40"/>
              <w:jc w:val="center"/>
              <w:rPr>
                <w:szCs w:val="22"/>
              </w:rPr>
            </w:pPr>
            <w:r>
              <w:rPr>
                <w:szCs w:val="22"/>
              </w:rPr>
              <w:t>Требования к началу срока выполнения работ/ этапа работ</w:t>
            </w:r>
          </w:p>
        </w:tc>
        <w:tc>
          <w:tcPr>
            <w:tcW w:w="2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9"/>
              <w:keepNext w:val="false"/>
              <w:widowControl w:val="false"/>
              <w:spacing w:before="40" w:after="40"/>
              <w:jc w:val="center"/>
              <w:rPr>
                <w:szCs w:val="22"/>
              </w:rPr>
            </w:pPr>
            <w:r>
              <w:rPr>
                <w:szCs w:val="22"/>
              </w:rPr>
              <w:t>Требования к окончанию срока выполнения работ / этапа работ</w:t>
            </w:r>
          </w:p>
        </w:tc>
      </w:tr>
      <w:tr>
        <w:trPr/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</w:tr>
      <w:tr>
        <w:trPr/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10"/>
              </w:numPr>
              <w:rPr>
                <w:i/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iCs/>
                <w:sz w:val="24"/>
                <w:szCs w:val="24"/>
              </w:rPr>
            </w:pPr>
            <w:r>
              <w:rPr>
                <w:rFonts w:eastAsia="Calibri"/>
                <w:iCs/>
                <w:sz w:val="24"/>
                <w:szCs w:val="24"/>
              </w:rPr>
              <w:t>ОКПД2 43.29.12 Выполнение работ по монтажу инженерных заграждений и сооружений для нужд Волжского филиала АО «Гидроремонт-ВКК».</w:t>
            </w:r>
          </w:p>
        </w:tc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iCs/>
                <w:sz w:val="24"/>
                <w:szCs w:val="24"/>
              </w:rPr>
              <w:t>С даты заключения договора</w:t>
            </w:r>
          </w:p>
        </w:tc>
        <w:tc>
          <w:tcPr>
            <w:tcW w:w="2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lang w:val="en-US"/>
              </w:rPr>
            </w:pPr>
            <w:r>
              <w:rPr>
                <w:iCs/>
                <w:sz w:val="24"/>
                <w:szCs w:val="24"/>
                <w:lang w:val="en-US"/>
              </w:rPr>
              <w:t>30.06.2027 г.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</w:tbl>
    <w:p>
      <w:pPr>
        <w:sectPr>
          <w:headerReference w:type="even" r:id="rId2"/>
          <w:headerReference w:type="default" r:id="rId3"/>
          <w:headerReference w:type="first" r:id="rId4"/>
          <w:type w:val="nextPage"/>
          <w:pgSz w:w="11906" w:h="16838"/>
          <w:pgMar w:left="1134" w:right="851" w:gutter="0" w:header="680" w:top="1134" w:footer="0" w:bottom="992"/>
          <w:pgNumType w:fmt="decimal"/>
          <w:formProt w:val="false"/>
          <w:titlePg/>
          <w:textDirection w:val="lrTb"/>
          <w:docGrid w:type="default" w:linePitch="360" w:charSpace="0"/>
        </w:sectPr>
      </w:pPr>
    </w:p>
    <w:p>
      <w:pPr>
        <w:pStyle w:val="Heading4"/>
        <w:numPr>
          <w:ilvl w:val="1"/>
          <w:numId w:val="3"/>
        </w:numPr>
        <w:spacing w:before="240" w:after="60"/>
        <w:ind w:left="431" w:hanging="431"/>
        <w:rPr>
          <w:rStyle w:val="Style8"/>
          <w:iCs/>
        </w:rPr>
      </w:pPr>
      <w:bookmarkStart w:id="85" w:name="__RefHeading___Toc47679_2939175109"/>
      <w:bookmarkStart w:id="86" w:name="_Toc125123777"/>
      <w:bookmarkEnd w:id="85"/>
      <w:r>
        <w:rPr/>
        <w:t>Требования к качеству работ</w:t>
      </w:r>
      <w:bookmarkEnd w:id="86"/>
    </w:p>
    <w:p>
      <w:pPr>
        <w:pStyle w:val="Style28"/>
        <w:numPr>
          <w:ilvl w:val="0"/>
          <w:numId w:val="0"/>
        </w:numPr>
        <w:spacing w:before="60" w:after="120"/>
        <w:ind w:left="0" w:hanging="0"/>
        <w:contextualSpacing/>
        <w:jc w:val="left"/>
        <w:outlineLvl w:val="0"/>
        <w:rPr>
          <w:rStyle w:val="Style8"/>
          <w:iCs/>
        </w:rPr>
      </w:pPr>
      <w:bookmarkStart w:id="87" w:name="__RefHeading___Toc47681_2939175109"/>
      <w:bookmarkStart w:id="88" w:name="_Toc125123778"/>
      <w:bookmarkStart w:id="89" w:name="_Toc51921661"/>
      <w:bookmarkEnd w:id="87"/>
      <w:r>
        <w:rPr/>
        <w:t>Таблица 4. Требования к качеству работ</w:t>
      </w:r>
      <w:bookmarkEnd w:id="88"/>
      <w:bookmarkEnd w:id="89"/>
      <w:r>
        <w:rPr/>
        <w:t xml:space="preserve"> </w:t>
      </w:r>
    </w:p>
    <w:p>
      <w:pPr>
        <w:pStyle w:val="Normal"/>
        <w:rPr>
          <w:sz w:val="24"/>
          <w:szCs w:val="24"/>
        </w:rPr>
      </w:pPr>
      <w:r>
        <w:rPr>
          <w:b/>
          <w:sz w:val="24"/>
          <w:szCs w:val="24"/>
        </w:rPr>
        <w:t xml:space="preserve">Наименование работ </w:t>
      </w:r>
      <w:r>
        <w:rPr>
          <w:b w:val="false"/>
          <w:bCs w:val="false"/>
          <w:sz w:val="24"/>
          <w:szCs w:val="24"/>
        </w:rPr>
        <w:t>ОКПД2 43.29.12 Выполнение работ по монтажу инженерных заграждений и сооружений для нужд Волжского филиала АО «Гидроремонт-ВКК».</w:t>
      </w:r>
    </w:p>
    <w:p>
      <w:pPr>
        <w:pStyle w:val="Normal"/>
        <w:rPr>
          <w:sz w:val="24"/>
          <w:szCs w:val="24"/>
        </w:rPr>
      </w:pPr>
      <w:r>
        <w:rPr/>
      </w:r>
    </w:p>
    <w:tbl>
      <w:tblPr>
        <w:tblStyle w:val="affff7"/>
        <w:tblW w:w="15217" w:type="dxa"/>
        <w:jc w:val="left"/>
        <w:tblInd w:w="3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926"/>
        <w:gridCol w:w="1945"/>
        <w:gridCol w:w="8549"/>
        <w:gridCol w:w="2330"/>
        <w:gridCol w:w="1467"/>
      </w:tblGrid>
      <w:tr>
        <w:trPr/>
        <w:tc>
          <w:tcPr>
            <w:tcW w:w="926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 xml:space="preserve">№ </w:t>
            </w: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п/п</w:t>
            </w:r>
          </w:p>
        </w:tc>
        <w:tc>
          <w:tcPr>
            <w:tcW w:w="1945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Наименование параметра</w:t>
            </w:r>
          </w:p>
        </w:tc>
        <w:tc>
          <w:tcPr>
            <w:tcW w:w="8549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Требование заказчика</w:t>
            </w:r>
          </w:p>
        </w:tc>
        <w:tc>
          <w:tcPr>
            <w:tcW w:w="3797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Способ подтверждения участником соответствия требованиям</w:t>
            </w:r>
          </w:p>
        </w:tc>
      </w:tr>
      <w:tr>
        <w:trPr/>
        <w:tc>
          <w:tcPr>
            <w:tcW w:w="926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1945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8549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233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Согласие с требованием/ указание характеристик</w:t>
            </w:r>
          </w:p>
        </w:tc>
        <w:tc>
          <w:tcPr>
            <w:tcW w:w="146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Предоставление подтверждающего документа или иной способ подтверждения</w:t>
            </w:r>
          </w:p>
        </w:tc>
      </w:tr>
      <w:tr>
        <w:trPr>
          <w:trHeight w:val="234" w:hRule="atLeast"/>
        </w:trPr>
        <w:tc>
          <w:tcPr>
            <w:tcW w:w="92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contextualSpacing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1</w:t>
            </w:r>
          </w:p>
        </w:tc>
        <w:tc>
          <w:tcPr>
            <w:tcW w:w="194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2</w:t>
            </w:r>
          </w:p>
        </w:tc>
        <w:tc>
          <w:tcPr>
            <w:tcW w:w="85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3</w:t>
            </w:r>
          </w:p>
        </w:tc>
        <w:tc>
          <w:tcPr>
            <w:tcW w:w="233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4</w:t>
            </w:r>
          </w:p>
        </w:tc>
        <w:tc>
          <w:tcPr>
            <w:tcW w:w="146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5</w:t>
            </w:r>
          </w:p>
        </w:tc>
      </w:tr>
      <w:tr>
        <w:trPr/>
        <w:tc>
          <w:tcPr>
            <w:tcW w:w="926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uppressAutoHyphens w:val="true"/>
              <w:spacing w:before="60" w:after="6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10494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выполнению работ</w:t>
            </w:r>
          </w:p>
        </w:tc>
        <w:tc>
          <w:tcPr>
            <w:tcW w:w="233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146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926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b/>
                <w:bCs/>
                <w:i/>
                <w:i/>
                <w:iCs/>
              </w:rPr>
            </w:pPr>
            <w:r>
              <w:rPr>
                <w:b/>
                <w:bCs/>
                <w:i/>
                <w:iCs/>
              </w:rPr>
            </w:r>
          </w:p>
        </w:tc>
        <w:tc>
          <w:tcPr>
            <w:tcW w:w="10494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contextualSpacing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Общие требования к выполнению работ</w:t>
            </w:r>
          </w:p>
        </w:tc>
        <w:tc>
          <w:tcPr>
            <w:tcW w:w="233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contextualSpacing/>
              <w:jc w:val="center"/>
              <w:rPr>
                <w:i/>
                <w:i/>
                <w:iCs/>
              </w:rPr>
            </w:pPr>
            <w:r>
              <w:rPr>
                <w:i/>
                <w:iCs/>
              </w:rPr>
            </w:r>
          </w:p>
        </w:tc>
        <w:tc>
          <w:tcPr>
            <w:tcW w:w="146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contextualSpacing/>
              <w:jc w:val="center"/>
              <w:rPr>
                <w:i/>
                <w:i/>
                <w:iCs/>
              </w:rPr>
            </w:pPr>
            <w:r>
              <w:rPr>
                <w:i/>
                <w:iCs/>
              </w:rPr>
            </w:r>
          </w:p>
        </w:tc>
      </w:tr>
      <w:tr>
        <w:trPr/>
        <w:tc>
          <w:tcPr>
            <w:tcW w:w="926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i/>
                <w:i/>
                <w:iCs/>
              </w:rPr>
            </w:pPr>
            <w:r>
              <w:rPr>
                <w:i/>
                <w:iCs/>
              </w:rPr>
            </w:r>
          </w:p>
        </w:tc>
        <w:tc>
          <w:tcPr>
            <w:tcW w:w="1945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>Соблюдение при выполнении работ норм и правил нормативно-технических документов</w:t>
            </w:r>
          </w:p>
          <w:p>
            <w:pPr>
              <w:pStyle w:val="Style28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contextualSpacing/>
              <w:jc w:val="left"/>
              <w:outlineLvl w:val="2"/>
              <w:rPr>
                <w:rFonts w:eastAsia="Times New Roman"/>
                <w:iCs/>
                <w:lang w:val="ru-RU" w:eastAsia="ru-RU"/>
              </w:rPr>
            </w:pPr>
            <w:r>
              <w:rPr>
                <w:rFonts w:eastAsia="Times New Roman" w:cs="Times New Roman"/>
                <w:iCs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8549" w:type="dxa"/>
            <w:tcBorders/>
            <w:shd w:color="auto" w:fill="auto" w:val="clear"/>
          </w:tcPr>
          <w:p>
            <w:pPr>
              <w:pStyle w:val="ListParagraph"/>
              <w:widowControl w:val="false"/>
              <w:suppressAutoHyphens w:val="true"/>
              <w:spacing w:before="0" w:after="0"/>
              <w:ind w:left="227" w:hanging="0"/>
              <w:contextualSpacing/>
              <w:jc w:val="left"/>
              <w:rPr>
                <w:rStyle w:val="Style8"/>
                <w:b w:val="false"/>
                <w:iCs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  <w:t>При выполнении работ субподрядчик должен руководствоваться следующими национальными, отраслевыми и корпоративными нормативно-техническими документами (НТД):</w:t>
            </w:r>
          </w:p>
          <w:p>
            <w:pPr>
              <w:pStyle w:val="ListParagraph"/>
              <w:widowControl w:val="false"/>
              <w:suppressAutoHyphens w:val="true"/>
              <w:spacing w:before="0" w:after="0"/>
              <w:ind w:left="310" w:hanging="0"/>
              <w:contextualSpacing/>
              <w:jc w:val="both"/>
              <w:rPr>
                <w:iCs/>
              </w:rPr>
            </w:pPr>
            <w:r>
              <w:rPr>
                <w:rFonts w:cs="Times New Roman"/>
                <w:iCs/>
                <w:kern w:val="0"/>
                <w:lang w:val="ru-RU" w:eastAsia="ru-RU" w:bidi="ar-SA"/>
              </w:rPr>
              <w:t>-«Правила организации технического обслуживания и ремонта объектов электроэнергетики», зарегистрирован 26.03.2019; приказ Минэнерго России от 25.10.2017 №1013;</w:t>
            </w:r>
          </w:p>
          <w:p>
            <w:pPr>
              <w:pStyle w:val="ListParagraph"/>
              <w:widowControl w:val="false"/>
              <w:suppressAutoHyphens w:val="true"/>
              <w:spacing w:before="0" w:after="0"/>
              <w:ind w:left="310" w:hanging="0"/>
              <w:contextualSpacing/>
              <w:jc w:val="both"/>
              <w:rPr>
                <w:iCs/>
              </w:rPr>
            </w:pPr>
            <w:r>
              <w:rPr>
                <w:rFonts w:cs="Times New Roman"/>
                <w:iCs/>
                <w:kern w:val="0"/>
                <w:lang w:val="ru-RU" w:eastAsia="ru-RU" w:bidi="ar-SA"/>
              </w:rPr>
              <w:t>-Правила по охране труда при эксплуатации электроустановок», приказ Минтруда России от 15.12.2020 №903н;</w:t>
            </w:r>
          </w:p>
          <w:p>
            <w:pPr>
              <w:pStyle w:val="ListParagraph"/>
              <w:widowControl w:val="false"/>
              <w:suppressAutoHyphens w:val="true"/>
              <w:spacing w:before="0" w:after="0"/>
              <w:ind w:left="310" w:hanging="0"/>
              <w:contextualSpacing/>
              <w:jc w:val="both"/>
              <w:rPr>
                <w:iCs/>
              </w:rPr>
            </w:pPr>
            <w:r>
              <w:rPr>
                <w:rFonts w:cs="Times New Roman"/>
                <w:iCs/>
                <w:kern w:val="0"/>
                <w:lang w:val="ru-RU" w:eastAsia="ru-RU" w:bidi="ar-SA"/>
              </w:rPr>
              <w:t>-Приказ №461 от 26.11.2020 г. об утверждении Федеральных норм и правил в области промышленной безопасности «Правила безопасности опасных производственных объектов, на которых используются подъемные сооружения».</w:t>
            </w:r>
          </w:p>
          <w:p>
            <w:pPr>
              <w:pStyle w:val="ListParagraph"/>
              <w:widowControl w:val="false"/>
              <w:suppressAutoHyphens w:val="true"/>
              <w:spacing w:before="0" w:after="0"/>
              <w:ind w:left="310" w:hanging="0"/>
              <w:contextualSpacing/>
              <w:jc w:val="both"/>
              <w:rPr>
                <w:iCs/>
              </w:rPr>
            </w:pPr>
            <w:r>
              <w:rPr>
                <w:rFonts w:cs="Times New Roman"/>
                <w:iCs/>
                <w:kern w:val="0"/>
                <w:lang w:val="ru-RU" w:eastAsia="ru-RU" w:bidi="ar-SA"/>
              </w:rPr>
              <w:t>- Правила по охране труда при работе с инструментом и приспособлениями», утвержденные Приказом Минтруда России от 27.11.2020 №835н;</w:t>
            </w:r>
          </w:p>
          <w:p>
            <w:pPr>
              <w:pStyle w:val="ListParagraph"/>
              <w:widowControl w:val="false"/>
              <w:suppressAutoHyphens w:val="true"/>
              <w:spacing w:before="0" w:after="0"/>
              <w:ind w:left="310" w:hanging="0"/>
              <w:contextualSpacing/>
              <w:jc w:val="both"/>
              <w:rPr>
                <w:iCs/>
              </w:rPr>
            </w:pPr>
            <w:r>
              <w:rPr>
                <w:rFonts w:cs="Times New Roman"/>
                <w:iCs/>
                <w:kern w:val="0"/>
                <w:lang w:val="ru-RU" w:eastAsia="ru-RU" w:bidi="ar-SA"/>
              </w:rPr>
              <w:t>- Правила по охране труда при размещении, монтаже, техническом обслуживании и ремонте технологического оборудования», утв. Приказом Минтруда России от 27.11.2020 №833н;</w:t>
            </w:r>
          </w:p>
          <w:p>
            <w:pPr>
              <w:pStyle w:val="ListParagraph"/>
              <w:widowControl w:val="false"/>
              <w:suppressAutoHyphens w:val="true"/>
              <w:spacing w:before="0" w:after="0"/>
              <w:ind w:left="310" w:hanging="0"/>
              <w:contextualSpacing/>
              <w:jc w:val="both"/>
              <w:rPr>
                <w:iCs/>
              </w:rPr>
            </w:pPr>
            <w:r>
              <w:rPr>
                <w:rFonts w:cs="Times New Roman"/>
                <w:iCs/>
                <w:kern w:val="0"/>
                <w:lang w:val="ru-RU" w:eastAsia="ru-RU" w:bidi="ar-SA"/>
              </w:rPr>
              <w:t>-«Правила по охране труда при погрузочно-разгрузочных работах и размещении грузов», утвержденные приказом Министерства труда и социальной защиты Российской Федерации от 28.10.2020 № 753н</w:t>
            </w:r>
          </w:p>
          <w:p>
            <w:pPr>
              <w:pStyle w:val="ListParagraph"/>
              <w:widowControl w:val="false"/>
              <w:suppressAutoHyphens w:val="true"/>
              <w:spacing w:before="0" w:after="0"/>
              <w:ind w:left="310" w:hanging="0"/>
              <w:contextualSpacing/>
              <w:jc w:val="both"/>
              <w:rPr>
                <w:iCs/>
              </w:rPr>
            </w:pPr>
            <w:r>
              <w:rPr>
                <w:rFonts w:cs="Times New Roman"/>
                <w:iCs/>
                <w:kern w:val="0"/>
                <w:lang w:val="ru-RU" w:eastAsia="ru-RU" w:bidi="ar-SA"/>
              </w:rPr>
              <w:t>-«Инструкции по обращению с отходами производства и потребления Волжской ГЭС»;</w:t>
            </w:r>
          </w:p>
          <w:p>
            <w:pPr>
              <w:pStyle w:val="ListParagraph"/>
              <w:widowControl w:val="false"/>
              <w:suppressAutoHyphens w:val="true"/>
              <w:spacing w:before="0" w:after="0"/>
              <w:ind w:left="310" w:hanging="0"/>
              <w:contextualSpacing/>
              <w:jc w:val="both"/>
              <w:rPr>
                <w:iCs/>
              </w:rPr>
            </w:pPr>
            <w:r>
              <w:rPr>
                <w:rFonts w:cs="Times New Roman"/>
                <w:iCs/>
                <w:kern w:val="0"/>
                <w:lang w:val="ru-RU" w:eastAsia="ru-RU" w:bidi="ar-SA"/>
              </w:rPr>
              <w:t>- Правил противопожарного режима в Российской Федерации (утв. Постановлением РФ от 16 сентября 2020 г. №1479)</w:t>
            </w:r>
          </w:p>
          <w:p>
            <w:pPr>
              <w:pStyle w:val="ListParagraph"/>
              <w:widowControl w:val="false"/>
              <w:suppressAutoHyphens w:val="true"/>
              <w:spacing w:before="0" w:after="0"/>
              <w:ind w:left="310" w:hanging="0"/>
              <w:contextualSpacing/>
              <w:jc w:val="both"/>
              <w:rPr>
                <w:iCs/>
              </w:rPr>
            </w:pPr>
            <w:r>
              <w:rPr>
                <w:rFonts w:cs="Times New Roman"/>
                <w:iCs/>
                <w:kern w:val="0"/>
                <w:lang w:val="ru-RU" w:eastAsia="ru-RU" w:bidi="ar-SA"/>
              </w:rPr>
              <w:t>- РД 153-34.0-03.301-00 (ВППБ 01-02-95) «Правила пожарной безопасности для энергетических предприятий». приспособлениями» Зарегистрировано в Минюсте России 11 декабря 2020 г. N 61411 Приказ от 27 ноября 2020 г. N 835н;</w:t>
            </w:r>
          </w:p>
          <w:p>
            <w:pPr>
              <w:pStyle w:val="ListParagraph"/>
              <w:widowControl w:val="false"/>
              <w:suppressAutoHyphens w:val="true"/>
              <w:spacing w:before="0" w:after="0"/>
              <w:ind w:left="310" w:hanging="0"/>
              <w:contextualSpacing/>
              <w:jc w:val="both"/>
              <w:rPr/>
            </w:pPr>
            <w:r>
              <w:rPr>
                <w:rStyle w:val="Style8"/>
                <w:rFonts w:cs="Times New Roman"/>
                <w:b w:val="false"/>
                <w:i w:val="false"/>
                <w:iCs w:val="false"/>
                <w:kern w:val="0"/>
                <w:shd w:fill="auto" w:val="clear"/>
                <w:lang w:val="ru-RU" w:eastAsia="ru-RU" w:bidi="ar-SA"/>
              </w:rPr>
              <w:t>- Правила по охране труда при строительстве, реконструкции и ремонте, утвержденные Приказом Минтруда России от 11 декабря 2020 года N 883н.</w:t>
            </w:r>
          </w:p>
        </w:tc>
        <w:tc>
          <w:tcPr>
            <w:tcW w:w="2330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  <w:tc>
          <w:tcPr>
            <w:tcW w:w="1467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926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i/>
                <w:i/>
                <w:iCs/>
              </w:rPr>
            </w:pPr>
            <w:r>
              <w:rPr>
                <w:i/>
                <w:iCs/>
              </w:rPr>
            </w:r>
          </w:p>
        </w:tc>
        <w:tc>
          <w:tcPr>
            <w:tcW w:w="10494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contextualSpacing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организации работ</w:t>
            </w:r>
          </w:p>
        </w:tc>
        <w:tc>
          <w:tcPr>
            <w:tcW w:w="2330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  <w:tc>
          <w:tcPr>
            <w:tcW w:w="146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rFonts w:eastAsia="Calibri"/>
                <w:i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>
          <w:trHeight w:val="2041" w:hRule="atLeast"/>
        </w:trPr>
        <w:tc>
          <w:tcPr>
            <w:tcW w:w="926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i/>
                <w:i/>
                <w:iCs/>
              </w:rPr>
            </w:pPr>
            <w:r>
              <w:rPr>
                <w:i/>
                <w:iCs/>
              </w:rPr>
            </w:r>
          </w:p>
        </w:tc>
        <w:tc>
          <w:tcPr>
            <w:tcW w:w="194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contextualSpacing/>
              <w:jc w:val="left"/>
              <w:rPr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>Организационно-технические мероприятия по допуску персонала субподрядчика</w:t>
            </w:r>
          </w:p>
          <w:p>
            <w:pPr>
              <w:pStyle w:val="Style28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contextualSpacing/>
              <w:jc w:val="left"/>
              <w:outlineLvl w:val="2"/>
              <w:rPr>
                <w:rFonts w:eastAsia="Times New Roman"/>
                <w:b w:val="false"/>
                <w:iCs/>
                <w:lang w:val="ru-RU" w:eastAsia="ru-RU"/>
              </w:rPr>
            </w:pPr>
            <w:r>
              <w:rPr>
                <w:rFonts w:eastAsia="Times New Roman" w:cs="Times New Roman"/>
                <w:b w:val="false"/>
                <w:iCs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854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 xml:space="preserve">- Допуск персонала субподрядчика для выполнения работ осуществляться в соответствии с </w:t>
            </w:r>
            <w:bookmarkStart w:id="90" w:name="_Hlk125115769"/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 xml:space="preserve">Приказом ПАО «РусГидро от 28.04.2023 №300 Об утверждении Регламента процесса «Допуск персонала подрядных организаций на объекты ПАО «РусГидро» </w:t>
            </w:r>
            <w:bookmarkEnd w:id="90"/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>(</w:t>
            </w:r>
            <w:r>
              <w:rPr>
                <w:rFonts w:eastAsia="Times New Roman" w:cs="Times New Roman"/>
                <w:iCs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Приложение №4 к ТТ)</w:t>
            </w: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>» с обязательным оформлением необходимых нарядов-допусков;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contextualSpacing/>
              <w:jc w:val="both"/>
              <w:rPr>
                <w:b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>- Подготовка рабочих мест и допуск к выполнению работ выполняет персонал Заказчика.</w:t>
            </w:r>
          </w:p>
        </w:tc>
        <w:tc>
          <w:tcPr>
            <w:tcW w:w="2330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</w:r>
          </w:p>
        </w:tc>
        <w:tc>
          <w:tcPr>
            <w:tcW w:w="146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1698" w:hRule="atLeast"/>
        </w:trPr>
        <w:tc>
          <w:tcPr>
            <w:tcW w:w="926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i/>
                <w:i/>
                <w:iCs/>
              </w:rPr>
            </w:pPr>
            <w:r>
              <w:rPr>
                <w:i/>
                <w:iCs/>
              </w:rPr>
            </w:r>
          </w:p>
        </w:tc>
        <w:tc>
          <w:tcPr>
            <w:tcW w:w="194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contextualSpacing/>
              <w:jc w:val="left"/>
              <w:rPr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>Организация работ</w:t>
            </w:r>
          </w:p>
        </w:tc>
        <w:tc>
          <w:tcPr>
            <w:tcW w:w="854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 Разработка субподрядчиком проектов производства работ (ППР) и технологических карт (ТК), в том числе на работы с применением подъемных сооружений (ПС), планов производства работ на высоте или технологических карт на производство работ;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 Организация работ по согласованию ППР и ТК входит в обязанности субподрядчика.</w:t>
            </w:r>
          </w:p>
        </w:tc>
        <w:tc>
          <w:tcPr>
            <w:tcW w:w="2330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</w:r>
          </w:p>
        </w:tc>
        <w:tc>
          <w:tcPr>
            <w:tcW w:w="146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728" w:hRule="atLeast"/>
        </w:trPr>
        <w:tc>
          <w:tcPr>
            <w:tcW w:w="926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i/>
                <w:i/>
                <w:iCs/>
              </w:rPr>
            </w:pPr>
            <w:r>
              <w:rPr>
                <w:i/>
                <w:iCs/>
              </w:rPr>
            </w:r>
          </w:p>
        </w:tc>
        <w:tc>
          <w:tcPr>
            <w:tcW w:w="10494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применяемым при выполнении работ оборудованию, материалам, технологиям, программно-аппаратным средствам</w:t>
            </w:r>
          </w:p>
        </w:tc>
        <w:tc>
          <w:tcPr>
            <w:tcW w:w="2330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rFonts w:eastAsia="Calibri"/>
                <w:i/>
                <w:i/>
                <w:iCs/>
                <w:sz w:val="24"/>
                <w:szCs w:val="24"/>
              </w:rPr>
            </w:pPr>
            <w:r>
              <w:rPr>
                <w:rFonts w:eastAsia="Calibri"/>
                <w:i/>
                <w:iCs/>
                <w:sz w:val="24"/>
                <w:szCs w:val="24"/>
              </w:rPr>
            </w:r>
          </w:p>
        </w:tc>
        <w:tc>
          <w:tcPr>
            <w:tcW w:w="146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rFonts w:eastAsia="Calibri"/>
                <w:i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926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i/>
                <w:i/>
                <w:iCs/>
              </w:rPr>
            </w:pPr>
            <w:r>
              <w:rPr>
                <w:i/>
                <w:iCs/>
              </w:rPr>
            </w:r>
          </w:p>
        </w:tc>
        <w:tc>
          <w:tcPr>
            <w:tcW w:w="194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contextualSpacing/>
              <w:jc w:val="left"/>
              <w:rPr>
                <w:b/>
                <w:i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>Требования к используемым материалам</w:t>
            </w:r>
          </w:p>
        </w:tc>
        <w:tc>
          <w:tcPr>
            <w:tcW w:w="854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lang w:val="x-none" w:eastAsia="x-none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>Качество применяемых материалов подтверждается паспортами и сертификатами качества.</w:t>
            </w:r>
          </w:p>
        </w:tc>
        <w:tc>
          <w:tcPr>
            <w:tcW w:w="2330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b/>
                <w:i/>
                <w:i/>
                <w:iCs/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</w:r>
          </w:p>
        </w:tc>
        <w:tc>
          <w:tcPr>
            <w:tcW w:w="146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</w:r>
          </w:p>
        </w:tc>
      </w:tr>
      <w:tr>
        <w:trPr>
          <w:trHeight w:val="581" w:hRule="atLeast"/>
        </w:trPr>
        <w:tc>
          <w:tcPr>
            <w:tcW w:w="926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i/>
                <w:i/>
                <w:iCs/>
              </w:rPr>
            </w:pPr>
            <w:r>
              <w:rPr>
                <w:i/>
                <w:iCs/>
              </w:rPr>
            </w:r>
          </w:p>
        </w:tc>
        <w:tc>
          <w:tcPr>
            <w:tcW w:w="10494" w:type="dxa"/>
            <w:gridSpan w:val="2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контролю качества работ и материалов</w:t>
            </w:r>
          </w:p>
        </w:tc>
        <w:tc>
          <w:tcPr>
            <w:tcW w:w="2330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rFonts w:eastAsia="Calibri"/>
                <w:i/>
                <w:i/>
                <w:iCs/>
                <w:sz w:val="24"/>
                <w:szCs w:val="24"/>
              </w:rPr>
            </w:pPr>
            <w:r>
              <w:rPr>
                <w:rFonts w:eastAsia="Calibri"/>
                <w:i/>
                <w:iCs/>
                <w:sz w:val="24"/>
                <w:szCs w:val="24"/>
              </w:rPr>
            </w:r>
          </w:p>
        </w:tc>
        <w:tc>
          <w:tcPr>
            <w:tcW w:w="146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rFonts w:eastAsia="Calibri"/>
                <w:i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>
          <w:trHeight w:val="3679" w:hRule="atLeast"/>
        </w:trPr>
        <w:tc>
          <w:tcPr>
            <w:tcW w:w="926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i/>
                <w:i/>
                <w:iCs/>
              </w:rPr>
            </w:pPr>
            <w:r>
              <w:rPr>
                <w:i/>
                <w:iCs/>
              </w:rPr>
            </w:r>
          </w:p>
        </w:tc>
        <w:tc>
          <w:tcPr>
            <w:tcW w:w="194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contextualSpacing/>
              <w:jc w:val="left"/>
              <w:rPr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>Контроль качества используемых запасных частей и материалов</w:t>
            </w:r>
          </w:p>
        </w:tc>
        <w:tc>
          <w:tcPr>
            <w:tcW w:w="854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60"/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shd w:fill="FFFF00" w:val="clear"/>
                <w:lang w:val="ru-RU" w:eastAsia="ru-RU" w:bidi="ar-SA"/>
              </w:rPr>
              <w:t>Субподрядчик совместно с Генеральным подрядчиком осуществляет входной контроль</w:t>
            </w: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 xml:space="preserve"> поступающих материалов и запасных частей, включающий в себя проверку</w:t>
            </w:r>
          </w:p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60"/>
              <w:ind w:left="170" w:hanging="170"/>
              <w:contextualSpacing w:val="false"/>
              <w:jc w:val="both"/>
              <w:rPr>
                <w:rFonts w:eastAsia="Times New Roman"/>
                <w:iCs/>
              </w:rPr>
            </w:pPr>
            <w:r>
              <w:rPr>
                <w:rFonts w:eastAsia="Times New Roman" w:cs="Times New Roman"/>
                <w:iCs/>
                <w:kern w:val="0"/>
                <w:lang w:val="ru-RU" w:eastAsia="ru-RU" w:bidi="ar-SA"/>
              </w:rPr>
              <w:t>наличия и надлежащего заполнения документа о качестве и соответствии приведенных в нем данных характеристикам, установленным в нормативном документе, регламентирующем технические требования к данной продукции;</w:t>
            </w:r>
          </w:p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60"/>
              <w:ind w:left="170" w:hanging="170"/>
              <w:contextualSpacing w:val="false"/>
              <w:jc w:val="both"/>
              <w:rPr>
                <w:rFonts w:eastAsia="Times New Roman"/>
                <w:iCs/>
              </w:rPr>
            </w:pPr>
            <w:r>
              <w:rPr>
                <w:rFonts w:eastAsia="Times New Roman" w:cs="Times New Roman"/>
                <w:iCs/>
                <w:kern w:val="0"/>
                <w:lang w:val="ru-RU" w:eastAsia="ru-RU" w:bidi="ar-SA"/>
              </w:rPr>
              <w:t>наличия маркировки, сохранности упаковки, наличия и сохранности защитных и окрасочных покрытий и т.п.;</w:t>
            </w:r>
          </w:p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60"/>
              <w:ind w:left="170" w:hanging="170"/>
              <w:contextualSpacing w:val="false"/>
              <w:jc w:val="both"/>
              <w:rPr>
                <w:rFonts w:eastAsia="Times New Roman"/>
                <w:b/>
                <w:bCs/>
                <w:iCs/>
              </w:rPr>
            </w:pPr>
            <w:r>
              <w:rPr>
                <w:rFonts w:eastAsia="Times New Roman" w:cs="Times New Roman"/>
                <w:iCs/>
                <w:kern w:val="0"/>
                <w:lang w:val="ru-RU" w:eastAsia="ru-RU" w:bidi="ar-SA"/>
              </w:rPr>
              <w:t>комплектности поставляемых материалов.</w:t>
            </w:r>
          </w:p>
        </w:tc>
        <w:tc>
          <w:tcPr>
            <w:tcW w:w="2330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b/>
                <w:bCs/>
                <w:i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</w:r>
          </w:p>
        </w:tc>
        <w:tc>
          <w:tcPr>
            <w:tcW w:w="146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b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</w:r>
          </w:p>
        </w:tc>
      </w:tr>
      <w:tr>
        <w:trPr/>
        <w:tc>
          <w:tcPr>
            <w:tcW w:w="926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i/>
                <w:i/>
                <w:iCs/>
              </w:rPr>
            </w:pPr>
            <w:r>
              <w:rPr>
                <w:i/>
                <w:iCs/>
              </w:rPr>
            </w:r>
          </w:p>
        </w:tc>
        <w:tc>
          <w:tcPr>
            <w:tcW w:w="10494" w:type="dxa"/>
            <w:gridSpan w:val="2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contextualSpacing/>
              <w:jc w:val="both"/>
              <w:rPr>
                <w:rStyle w:val="Style8"/>
                <w:bCs/>
                <w:i w:val="false"/>
                <w:i w:val="false"/>
                <w:sz w:val="24"/>
                <w:szCs w:val="24"/>
                <w:shd w:fill="auto" w:val="clear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Требования к персоналу субподрядчика</w:t>
            </w:r>
          </w:p>
        </w:tc>
        <w:tc>
          <w:tcPr>
            <w:tcW w:w="2330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rStyle w:val="Style8"/>
                <w:rFonts w:eastAsia="Calibri"/>
                <w:b w:val="false"/>
                <w:iCs/>
                <w:sz w:val="24"/>
                <w:szCs w:val="24"/>
                <w:shd w:fill="auto" w:val="clear"/>
              </w:rPr>
            </w:pPr>
            <w:r>
              <w:rPr>
                <w:rFonts w:eastAsia="Calibri"/>
                <w:b w:val="false"/>
                <w:iCs/>
                <w:sz w:val="24"/>
                <w:szCs w:val="24"/>
                <w:shd w:fill="auto" w:val="clear"/>
              </w:rPr>
            </w:r>
          </w:p>
        </w:tc>
        <w:tc>
          <w:tcPr>
            <w:tcW w:w="146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rStyle w:val="Style8"/>
                <w:rFonts w:eastAsia="Calibri"/>
                <w:b w:val="false"/>
                <w:iCs/>
                <w:sz w:val="24"/>
                <w:szCs w:val="24"/>
                <w:shd w:fill="auto" w:val="clear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926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i/>
                <w:i/>
                <w:iCs/>
              </w:rPr>
            </w:pPr>
            <w:r>
              <w:rPr>
                <w:i/>
                <w:iCs/>
              </w:rPr>
            </w:r>
          </w:p>
        </w:tc>
        <w:tc>
          <w:tcPr>
            <w:tcW w:w="1945" w:type="dxa"/>
            <w:tcBorders/>
          </w:tcPr>
          <w:p>
            <w:pPr>
              <w:pStyle w:val="Style28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contextualSpacing/>
              <w:jc w:val="left"/>
              <w:outlineLvl w:val="2"/>
              <w:rPr>
                <w:rFonts w:ascii="Times New Roman" w:hAnsi="Times New Roman"/>
                <w:sz w:val="24"/>
                <w:szCs w:val="24"/>
              </w:rPr>
            </w:pPr>
            <w:bookmarkStart w:id="91" w:name="__RefHeading___Toc47683_2939175109"/>
            <w:bookmarkStart w:id="92" w:name="_Toc125123779"/>
            <w:bookmarkEnd w:id="91"/>
            <w:r>
              <w:rPr>
                <w:rFonts w:eastAsia="Times New Roman" w:cs="Times New Roman"/>
                <w:b w:val="false"/>
                <w:iCs/>
                <w:kern w:val="0"/>
                <w:sz w:val="24"/>
                <w:szCs w:val="24"/>
                <w:lang w:val="ru-RU" w:eastAsia="ru-RU" w:bidi="ar-SA"/>
              </w:rPr>
              <w:t>Квалификация персонала субподрядчика, привлекаемого к выполнению работ</w:t>
            </w:r>
            <w:bookmarkEnd w:id="92"/>
          </w:p>
        </w:tc>
        <w:tc>
          <w:tcPr>
            <w:tcW w:w="854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>Привлекаемые к выполнению работ сотрудники должны: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>- быть старше 18 лет;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>- иметь группы по электробезопасности не ниже 2гр. в  соответствии с требованиями Правил по охране труда при эксплуатации электроустановок утв. Приказом Минтруда и соц. защиты РФ от 15 декабря 2020 года N 903н и прошедшие проверку знаний требований ПТЭЭСС.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>До начала проведения работ в рамках исполнения договора после его заключения субподрядчик предоставляет: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 сведения о лицах из указанного перечня, подтверждающие принадлежность данных лиц к субподрядчику (копии трудового договора или копии трудовых книжек или копии приказов о приёме на работу);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 копию страниц паспорта;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 справку об отсутствии судимости;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 заполненную анкету ;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 согласие на обработку персональных и иных охраняемых законом данных;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 копии удостоверений о проверки знаний Правил работы в электроустановках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 копии протоколов проверки знаний Правил работы в электроустановках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 копии документов подтверждающих обучение персонала по: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 Общим вопросам охраны труда;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 Оказание первой помощи пострадавшим;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-Безопасным методам и приемам выполнения работ при воздействии вредных и (или) опасных производственных факторов;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 Использованию (применению) СИЗ;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 копии свидетельств о прохождении обучения по повышению квалификации или дополнительных навыков (при необходимости);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 копий  удостоверений на производство специальных видов работ (огневых, грузоподъемных, работ с электро - и пневмоинструментом) (возможно совмещение специальностей)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 копии документов подтверждающих прохождения медицинского осмотра и психиатрического и наркологического освидетельствования Заверенными руководителем организации.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eastAsia="en-US" w:bidi="ar-SA"/>
              </w:rPr>
              <w:t xml:space="preserve">- копию приказа создания аттестационной комиссии (при наличии), копии протоколов аттестации на всех членов комиссии по областям </w:t>
            </w:r>
            <w:r>
              <w:rPr>
                <w:rFonts w:eastAsia="Calibri" w:cs="Times New Roman"/>
                <w:b/>
                <w:kern w:val="0"/>
                <w:sz w:val="24"/>
                <w:szCs w:val="24"/>
                <w:lang w:val="ru-RU" w:eastAsia="en-US" w:bidi="ar-SA"/>
              </w:rPr>
              <w:t>А.1, В.2 обязательно</w:t>
            </w:r>
            <w:r>
              <w:rPr>
                <w:rFonts w:eastAsia="Calibri" w:cs="Times New Roman"/>
                <w:kern w:val="0"/>
                <w:sz w:val="24"/>
                <w:szCs w:val="24"/>
                <w:lang w:val="ru-RU" w:eastAsia="en-US" w:bidi="ar-SA"/>
              </w:rPr>
              <w:t>, Б.9.3, Б.9.4 по мере необходимости для выполнения работ, на ответственных за безопасное производство работ с применением ПС;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eastAsia="en-US" w:bidi="ar-SA"/>
              </w:rPr>
              <w:t>- формы удостоверений при работах в электроустановках должны соответствовать требованиям правил по ОТ при эксплуатации электроустановок;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eastAsia="en-US" w:bidi="ar-SA"/>
              </w:rPr>
              <w:t>- при отсутствии в организации ПДЭК предоставить копии протоколов проверки знаний в аттестационной комиссии РТН;</w:t>
            </w:r>
          </w:p>
        </w:tc>
        <w:tc>
          <w:tcPr>
            <w:tcW w:w="2330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</w:r>
          </w:p>
        </w:tc>
        <w:tc>
          <w:tcPr>
            <w:tcW w:w="146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</w:r>
          </w:p>
        </w:tc>
      </w:tr>
      <w:tr>
        <w:trPr/>
        <w:tc>
          <w:tcPr>
            <w:tcW w:w="926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i/>
                <w:i/>
                <w:iCs/>
              </w:rPr>
            </w:pPr>
            <w:r>
              <w:rPr>
                <w:i/>
                <w:iCs/>
              </w:rPr>
            </w:r>
          </w:p>
        </w:tc>
        <w:tc>
          <w:tcPr>
            <w:tcW w:w="10494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contextualSpacing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безопасности работ и охране труда</w:t>
            </w:r>
          </w:p>
        </w:tc>
        <w:tc>
          <w:tcPr>
            <w:tcW w:w="2330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  <w:tc>
          <w:tcPr>
            <w:tcW w:w="1467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contextualSpacing/>
              <w:jc w:val="center"/>
              <w:rPr>
                <w:i/>
                <w:i/>
                <w:iCs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926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i/>
                <w:i/>
                <w:iCs/>
              </w:rPr>
            </w:pPr>
            <w:r>
              <w:rPr>
                <w:i/>
                <w:iCs/>
              </w:rPr>
            </w:r>
          </w:p>
        </w:tc>
        <w:tc>
          <w:tcPr>
            <w:tcW w:w="194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contextualSpacing/>
              <w:jc w:val="left"/>
              <w:rPr>
                <w:b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>Требования к безопасности выполняемых работ</w:t>
            </w:r>
          </w:p>
        </w:tc>
        <w:tc>
          <w:tcPr>
            <w:tcW w:w="854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en-US" w:bidi="ar-SA"/>
              </w:rPr>
              <w:t>Субподрядчик</w:t>
            </w:r>
            <w:r>
              <w:rPr>
                <w:rFonts w:eastAsia="Calibri" w:cs="Times New Roman"/>
                <w:kern w:val="0"/>
                <w:sz w:val="24"/>
                <w:szCs w:val="24"/>
                <w:lang w:val="ru-RU" w:eastAsia="en-US" w:bidi="ar-SA"/>
              </w:rPr>
              <w:t xml:space="preserve"> должен при производстве работ соблюдать: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eastAsia="en-US" w:bidi="ar-SA"/>
              </w:rPr>
              <w:t>Постановление Правительства РФ от 24.12.2021 N 2464 "О порядке обучения по охране труда и проверки знания требований охраны труда"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eastAsia="en-US" w:bidi="ar-SA"/>
              </w:rPr>
              <w:t>- Правил    по    охране    труда     при   эксплуатации    электроустановок, утверждённых приказом Министерство труда и социальной защиты РФ от 15.12.2020г. № 903н, зарегистрированных в Минюсте России 30.12.2020 N 61957;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eastAsia="en-US" w:bidi="ar-SA"/>
              </w:rPr>
              <w:t>- Правил по охране труда при строительстве, реконструкции и ремонте, утверждённых приказом Минтруда России от 11.12.2020 N 883н, зарегистрированных в Минюсте России 24.12.2020 N 61787;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 w:cs="Times New Roman"/>
                <w:iCs/>
                <w:kern w:val="0"/>
                <w:sz w:val="24"/>
                <w:szCs w:val="24"/>
                <w:lang w:val="ru-RU" w:eastAsia="en-US" w:bidi="ar-SA"/>
              </w:rPr>
              <w:t>- СНиП 12-03-2001«Безопасность труда в строительстве» Часть 1.Общие требования, утвержденных Постановлением Госстроя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eastAsia="en-US" w:bidi="ar-SA"/>
              </w:rPr>
              <w:t>РФ от 23.07.2001 N 80, зарегистрированных в Минюсте РФ 09.08.2001 N 2862;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eastAsia="en-US" w:bidi="ar-SA"/>
              </w:rPr>
              <w:t>- СНиП 12-04-2002  «Безопасность  труда  в  строительстве» Часть 2.  Строительное Производство, утвержденных Постановлением Госстроя России от 17.09.2002 N 123, зарегистрированных в Минюсте России 18.10.2002 N 3880;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eastAsia="en-US" w:bidi="ar-SA"/>
              </w:rPr>
              <w:t>- СП 12-136-2002  «Решения по охране труда и промышленной    безопасности в ПНР и ПОС», утвержденных  Постановлением Госстроя РФ от 17.09.2002 N 122;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eastAsia="en-US" w:bidi="ar-SA"/>
              </w:rPr>
              <w:t>- Правил по охране труда при погрузочно-разгрузочных работах и размещении грузов»,  утверждённых приказом Минтруда России от 28.10.2020 г. № 753н, зарегистрированных в Минюсте России 15.12.2020 N 61471;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eastAsia="en-US" w:bidi="ar-SA"/>
              </w:rPr>
              <w:t>- ГОСТ 12.3.009-76 «ССБТ. Работы погрузочно-разгрузочные. Общие требования       безопасности», утвержден Постановлением Госстандарта СССР от 23.03.1976 N 670;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eastAsia="en-US" w:bidi="ar-SA"/>
              </w:rPr>
              <w:t>- Постановление Правительства РФ от 10.09.2020 N 1391 "Об утверждении Правил охраны поверхностных водных объектов";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eastAsia="en-US" w:bidi="ar-SA"/>
              </w:rPr>
              <w:t>- ФЗ № 7 от 10.01.2002 г «Об охране окружающей среды»;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eastAsia="en-US" w:bidi="ar-SA"/>
              </w:rPr>
              <w:t>- Правил противопожарного режима в Российской Федерации, утверждённых постановлением Правительства РФ от 16.09.2020 N 1479;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eastAsia="en-US" w:bidi="ar-SA"/>
              </w:rPr>
              <w:t>- Приказ Минстроя России от 27.07.2017 N 1033/пр "Об утверждении СП 68.13330.2017 "СНиП 3.01.04-87 Приемка в эксплуатацию законченных строительством объектов. Основные положения";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 w:cs="Times New Roman"/>
                <w:iCs/>
                <w:kern w:val="0"/>
                <w:sz w:val="24"/>
                <w:szCs w:val="24"/>
                <w:lang w:val="ru-RU" w:eastAsia="en-US" w:bidi="ar-SA"/>
              </w:rPr>
              <w:t>- Правил по охране труда при работе с инструментом и приспособлениями, утверждённых Приказом Минтруда России от 27.11.2020 г. № 835н, зарегистрированных в Минюсте России 11.12.2020 N 61411.</w:t>
            </w:r>
          </w:p>
        </w:tc>
        <w:tc>
          <w:tcPr>
            <w:tcW w:w="2330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b/>
                <w:i/>
                <w:i/>
                <w:iCs/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</w:r>
          </w:p>
        </w:tc>
        <w:tc>
          <w:tcPr>
            <w:tcW w:w="146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</w:r>
          </w:p>
        </w:tc>
      </w:tr>
      <w:tr>
        <w:trPr/>
        <w:tc>
          <w:tcPr>
            <w:tcW w:w="926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uppressAutoHyphens w:val="true"/>
              <w:spacing w:before="60" w:after="60"/>
              <w:contextualSpacing/>
              <w:jc w:val="center"/>
              <w:rPr>
                <w:i/>
                <w:i/>
                <w:iCs/>
              </w:rPr>
            </w:pPr>
            <w:r>
              <w:rPr>
                <w:i/>
                <w:iCs/>
              </w:rPr>
            </w:r>
          </w:p>
        </w:tc>
        <w:tc>
          <w:tcPr>
            <w:tcW w:w="10494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Требования к результатам работ</w:t>
            </w:r>
          </w:p>
        </w:tc>
        <w:tc>
          <w:tcPr>
            <w:tcW w:w="2330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  <w:tc>
          <w:tcPr>
            <w:tcW w:w="146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>
          <w:trHeight w:val="100" w:hRule="atLeast"/>
        </w:trPr>
        <w:tc>
          <w:tcPr>
            <w:tcW w:w="926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i/>
                <w:i/>
                <w:iCs/>
              </w:rPr>
            </w:pPr>
            <w:r>
              <w:rPr>
                <w:i/>
                <w:iCs/>
              </w:rPr>
            </w:r>
          </w:p>
        </w:tc>
        <w:tc>
          <w:tcPr>
            <w:tcW w:w="10494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contextualSpacing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Общие требования к результатам работ</w:t>
            </w:r>
          </w:p>
        </w:tc>
        <w:tc>
          <w:tcPr>
            <w:tcW w:w="2330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60" w:after="0"/>
              <w:contextualSpacing/>
              <w:jc w:val="center"/>
              <w:rPr>
                <w:i/>
                <w:i/>
                <w:iCs/>
              </w:rPr>
            </w:pPr>
            <w:r>
              <w:rPr>
                <w:i/>
                <w:iCs/>
              </w:rPr>
            </w:r>
          </w:p>
        </w:tc>
        <w:tc>
          <w:tcPr>
            <w:tcW w:w="1467" w:type="dxa"/>
            <w:tcBorders/>
          </w:tcPr>
          <w:p>
            <w:pPr>
              <w:pStyle w:val="Normal"/>
              <w:widowControl w:val="false"/>
              <w:suppressAutoHyphens w:val="true"/>
              <w:spacing w:before="60" w:after="0"/>
              <w:contextualSpacing/>
              <w:jc w:val="center"/>
              <w:rPr>
                <w:i/>
                <w:i/>
                <w:iCs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926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i/>
                <w:i/>
                <w:iCs/>
              </w:rPr>
            </w:pPr>
            <w:r>
              <w:rPr>
                <w:i/>
                <w:iCs/>
              </w:rPr>
            </w:r>
          </w:p>
        </w:tc>
        <w:tc>
          <w:tcPr>
            <w:tcW w:w="194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contextualSpacing/>
              <w:jc w:val="left"/>
              <w:rPr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>Результат работ</w:t>
            </w:r>
          </w:p>
        </w:tc>
        <w:tc>
          <w:tcPr>
            <w:tcW w:w="854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>Результат работ должн соответствовать: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>- выданной в производство работ РД;</w:t>
            </w:r>
          </w:p>
        </w:tc>
        <w:tc>
          <w:tcPr>
            <w:tcW w:w="2330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</w:r>
          </w:p>
        </w:tc>
        <w:tc>
          <w:tcPr>
            <w:tcW w:w="146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</w:r>
          </w:p>
        </w:tc>
      </w:tr>
      <w:tr>
        <w:trPr/>
        <w:tc>
          <w:tcPr>
            <w:tcW w:w="926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i/>
                <w:i/>
                <w:iCs/>
              </w:rPr>
            </w:pPr>
            <w:r>
              <w:rPr>
                <w:i/>
                <w:iCs/>
              </w:rPr>
            </w:r>
          </w:p>
        </w:tc>
        <w:tc>
          <w:tcPr>
            <w:tcW w:w="10494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bCs/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Требования к порядку приемки результатов работ</w:t>
            </w:r>
          </w:p>
        </w:tc>
        <w:tc>
          <w:tcPr>
            <w:tcW w:w="2330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i/>
                <w:i/>
                <w:iCs/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</w:r>
          </w:p>
        </w:tc>
        <w:tc>
          <w:tcPr>
            <w:tcW w:w="146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i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926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i/>
                <w:i/>
                <w:iCs/>
              </w:rPr>
            </w:pPr>
            <w:r>
              <w:rPr>
                <w:i/>
                <w:iCs/>
              </w:rPr>
            </w:r>
          </w:p>
        </w:tc>
        <w:tc>
          <w:tcPr>
            <w:tcW w:w="194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contextualSpacing/>
              <w:jc w:val="left"/>
              <w:rPr>
                <w:i/>
                <w:i/>
                <w:iCs/>
                <w:sz w:val="24"/>
                <w:szCs w:val="24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eastAsia="ru-RU" w:bidi="ar-SA"/>
              </w:rPr>
              <w:t>Предъявление Объекта комиссии Заказчика</w:t>
            </w:r>
          </w:p>
        </w:tc>
        <w:tc>
          <w:tcPr>
            <w:tcW w:w="854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contextualSpacing/>
              <w:jc w:val="left"/>
              <w:rPr>
                <w:b w:val="false"/>
                <w:bCs w:val="false"/>
              </w:rPr>
            </w:pPr>
            <w:r>
              <w:rPr>
                <w:rFonts w:eastAsia="Calibri" w:cs="Times New Roman"/>
                <w:b w:val="false"/>
                <w:bCs w:val="false"/>
                <w:iCs/>
                <w:kern w:val="0"/>
                <w:sz w:val="24"/>
                <w:szCs w:val="24"/>
                <w:lang w:val="ru-RU" w:eastAsia="ru-RU" w:bidi="ar-SA"/>
              </w:rPr>
              <w:t>Оформление отчетной и исполнительной документации</w:t>
            </w:r>
            <w:r>
              <w:rPr>
                <w:rFonts w:eastAsia="Times New Roman" w:cs="Times New Roman"/>
                <w:b w:val="false"/>
                <w:bCs w:val="false"/>
                <w:iCs/>
                <w:kern w:val="0"/>
                <w:sz w:val="24"/>
                <w:szCs w:val="24"/>
                <w:lang w:val="ru-RU" w:eastAsia="ru-RU" w:bidi="ar-SA"/>
              </w:rPr>
              <w:t>, указанных в п. 2.3.1 настоящей таблицы.</w:t>
            </w:r>
          </w:p>
        </w:tc>
        <w:tc>
          <w:tcPr>
            <w:tcW w:w="2330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</w:r>
          </w:p>
        </w:tc>
        <w:tc>
          <w:tcPr>
            <w:tcW w:w="146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</w:r>
          </w:p>
        </w:tc>
      </w:tr>
      <w:tr>
        <w:trPr/>
        <w:tc>
          <w:tcPr>
            <w:tcW w:w="926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i/>
                <w:i/>
                <w:iCs/>
              </w:rPr>
            </w:pPr>
            <w:r>
              <w:rPr>
                <w:i/>
                <w:iCs/>
              </w:rPr>
            </w:r>
          </w:p>
        </w:tc>
        <w:tc>
          <w:tcPr>
            <w:tcW w:w="10494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contextualSpacing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оформлению документации</w:t>
            </w:r>
          </w:p>
        </w:tc>
        <w:tc>
          <w:tcPr>
            <w:tcW w:w="2330" w:type="dxa"/>
            <w:vMerge w:val="continue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contextualSpacing/>
              <w:jc w:val="center"/>
              <w:rPr>
                <w:i/>
                <w:i/>
                <w:iCs/>
              </w:rPr>
            </w:pPr>
            <w:r>
              <w:rPr>
                <w:i/>
                <w:iCs/>
              </w:rPr>
            </w:r>
          </w:p>
        </w:tc>
        <w:tc>
          <w:tcPr>
            <w:tcW w:w="1467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contextualSpacing/>
              <w:jc w:val="center"/>
              <w:rPr>
                <w:i/>
                <w:i/>
                <w:iCs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926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i/>
                <w:i/>
                <w:iCs/>
              </w:rPr>
            </w:pPr>
            <w:r>
              <w:rPr>
                <w:i/>
                <w:iCs/>
              </w:rPr>
            </w:r>
          </w:p>
        </w:tc>
        <w:tc>
          <w:tcPr>
            <w:tcW w:w="194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>Документы, передаваемые заказчику по результатам выполненных работ</w:t>
            </w:r>
          </w:p>
        </w:tc>
        <w:tc>
          <w:tcPr>
            <w:tcW w:w="854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 xml:space="preserve">Субподрядчик обязан одновременно с передачей актов </w:t>
            </w:r>
            <w:r>
              <w:rPr>
                <w:rFonts w:eastAsia="Times New Roman" w:cs="Times New Roman"/>
                <w:iCs/>
                <w:color w:val="000000"/>
                <w:kern w:val="0"/>
                <w:sz w:val="24"/>
                <w:szCs w:val="24"/>
                <w:lang w:val="ru-RU" w:eastAsia="ru-RU" w:bidi="ar-SA"/>
              </w:rPr>
              <w:t xml:space="preserve">освидетельствования выполненных работ </w:t>
            </w: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>передать Генеральному подрядчику Отчет о выполненных работах, включая:</w:t>
            </w:r>
          </w:p>
          <w:p>
            <w:pPr>
              <w:pStyle w:val="ListParagraph"/>
              <w:widowControl w:val="false"/>
              <w:numPr>
                <w:ilvl w:val="0"/>
                <w:numId w:val="7"/>
              </w:numPr>
              <w:suppressAutoHyphens w:val="true"/>
              <w:spacing w:before="0" w:after="0"/>
              <w:ind w:left="310" w:hanging="283"/>
              <w:contextualSpacing/>
              <w:jc w:val="left"/>
              <w:rPr>
                <w:rFonts w:eastAsia="Times New Roman"/>
                <w:iCs/>
              </w:rPr>
            </w:pPr>
            <w:r>
              <w:rPr>
                <w:rFonts w:eastAsia="Times New Roman" w:cs="Times New Roman"/>
                <w:iCs/>
                <w:kern w:val="0"/>
                <w:lang w:val="ru-RU" w:eastAsia="ru-RU" w:bidi="ar-SA"/>
              </w:rPr>
              <w:t>акты на скрытые работы</w:t>
            </w:r>
          </w:p>
          <w:p>
            <w:pPr>
              <w:pStyle w:val="ListParagraph"/>
              <w:widowControl w:val="false"/>
              <w:numPr>
                <w:ilvl w:val="0"/>
                <w:numId w:val="7"/>
              </w:numPr>
              <w:suppressAutoHyphens w:val="true"/>
              <w:spacing w:before="0" w:after="0"/>
              <w:ind w:left="310" w:hanging="283"/>
              <w:contextualSpacing/>
              <w:jc w:val="left"/>
              <w:rPr>
                <w:rFonts w:eastAsia="Times New Roman"/>
                <w:iCs/>
              </w:rPr>
            </w:pPr>
            <w:r>
              <w:rPr>
                <w:rFonts w:eastAsia="Times New Roman" w:cs="Times New Roman"/>
                <w:iCs/>
                <w:kern w:val="0"/>
                <w:lang w:val="ru-RU" w:eastAsia="ru-RU" w:bidi="ar-SA"/>
              </w:rPr>
              <w:t>исполнительные чертежи, схемы</w:t>
            </w:r>
          </w:p>
          <w:p>
            <w:pPr>
              <w:pStyle w:val="ListParagraph"/>
              <w:widowControl w:val="false"/>
              <w:numPr>
                <w:ilvl w:val="0"/>
                <w:numId w:val="7"/>
              </w:numPr>
              <w:suppressAutoHyphens w:val="true"/>
              <w:spacing w:before="0" w:after="0"/>
              <w:ind w:left="310" w:hanging="283"/>
              <w:contextualSpacing/>
              <w:jc w:val="left"/>
              <w:rPr>
                <w:rFonts w:eastAsia="Times New Roman"/>
                <w:iCs/>
              </w:rPr>
            </w:pPr>
            <w:r>
              <w:rPr>
                <w:rFonts w:eastAsia="Times New Roman" w:cs="Times New Roman"/>
                <w:iCs/>
                <w:kern w:val="0"/>
                <w:lang w:val="ru-RU" w:eastAsia="ru-RU" w:bidi="ar-SA"/>
              </w:rPr>
              <w:t>общий и специальный журналы учета выполнения работ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>сертификаты качества и паспорта на применённые материалы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>- отчет об использовании давальческих материалов</w:t>
            </w:r>
          </w:p>
        </w:tc>
        <w:tc>
          <w:tcPr>
            <w:tcW w:w="2330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</w:r>
          </w:p>
        </w:tc>
        <w:tc>
          <w:tcPr>
            <w:tcW w:w="146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</w:r>
          </w:p>
        </w:tc>
      </w:tr>
      <w:tr>
        <w:trPr/>
        <w:tc>
          <w:tcPr>
            <w:tcW w:w="926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uppressAutoHyphens w:val="true"/>
              <w:spacing w:before="60" w:after="60"/>
              <w:contextualSpacing/>
              <w:jc w:val="center"/>
              <w:rPr>
                <w:i/>
                <w:i/>
                <w:iCs/>
              </w:rPr>
            </w:pPr>
            <w:r>
              <w:rPr>
                <w:i/>
                <w:iCs/>
              </w:rPr>
            </w:r>
          </w:p>
        </w:tc>
        <w:tc>
          <w:tcPr>
            <w:tcW w:w="10494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20" w:after="0"/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ответственности и гарантиям Субподрядчика</w:t>
            </w:r>
          </w:p>
        </w:tc>
        <w:tc>
          <w:tcPr>
            <w:tcW w:w="2330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i/>
                <w:i/>
                <w:iCs/>
              </w:rPr>
            </w:pPr>
            <w:r>
              <w:rPr>
                <w:b/>
                <w:i/>
                <w:iCs/>
              </w:rPr>
            </w:r>
          </w:p>
        </w:tc>
        <w:tc>
          <w:tcPr>
            <w:tcW w:w="146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i/>
                <w:i/>
                <w:iCs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926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i/>
                <w:i/>
                <w:iCs/>
              </w:rPr>
            </w:pPr>
            <w:r>
              <w:rPr>
                <w:i/>
                <w:iCs/>
              </w:rPr>
            </w:r>
          </w:p>
        </w:tc>
        <w:tc>
          <w:tcPr>
            <w:tcW w:w="194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>Гарантийный срок на результат работ</w:t>
            </w:r>
          </w:p>
        </w:tc>
        <w:tc>
          <w:tcPr>
            <w:tcW w:w="854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color w:val="000000"/>
                <w:kern w:val="0"/>
                <w:sz w:val="24"/>
                <w:szCs w:val="24"/>
                <w:lang w:val="ru-RU" w:eastAsia="ru-RU" w:bidi="ar-SA"/>
              </w:rPr>
              <w:t>Гарантийный срок по Договору составляет 36 (Тридцать шесть) месяцев и начинает течь с даты подписания Сторонами Акта КС-2, Справки КС-3, либо с даты прекращения (расторжения) Договора. Гарантийный срок может быть продлен в соответствии с условиями Договора.</w:t>
            </w:r>
          </w:p>
        </w:tc>
        <w:tc>
          <w:tcPr>
            <w:tcW w:w="2330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</w:r>
          </w:p>
        </w:tc>
        <w:tc>
          <w:tcPr>
            <w:tcW w:w="146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</w:r>
          </w:p>
        </w:tc>
      </w:tr>
    </w:tbl>
    <w:p>
      <w:pPr>
        <w:sectPr>
          <w:headerReference w:type="default" r:id="rId5"/>
          <w:headerReference w:type="first" r:id="rId6"/>
          <w:type w:val="nextPage"/>
          <w:pgSz w:orient="landscape" w:w="16838" w:h="11906"/>
          <w:pgMar w:left="992" w:right="567" w:gutter="0" w:header="680" w:top="851" w:footer="0" w:bottom="851"/>
          <w:pgNumType w:fmt="decimal"/>
          <w:formProt w:val="false"/>
          <w:titlePg/>
          <w:textDirection w:val="lrTb"/>
          <w:docGrid w:type="default" w:linePitch="381" w:charSpace="0"/>
        </w:sectPr>
      </w:pPr>
    </w:p>
    <w:p>
      <w:pPr>
        <w:pStyle w:val="Heading1"/>
        <w:numPr>
          <w:ilvl w:val="0"/>
          <w:numId w:val="3"/>
        </w:numPr>
        <w:ind w:left="0" w:hanging="0"/>
        <w:jc w:val="center"/>
        <w:rPr>
          <w:rStyle w:val="Style8"/>
          <w:bCs/>
          <w:sz w:val="26"/>
          <w:szCs w:val="26"/>
        </w:rPr>
      </w:pPr>
      <w:bookmarkStart w:id="93" w:name="__RefHeading___Toc47687_2939175109"/>
      <w:bookmarkStart w:id="94" w:name="_Toc125123781"/>
      <w:bookmarkStart w:id="95" w:name="_Toc54618151"/>
      <w:bookmarkStart w:id="96" w:name="_Toc54279844"/>
      <w:bookmarkEnd w:id="93"/>
      <w:r>
        <w:rPr/>
        <w:t>Требования к документации по</w:t>
      </w:r>
      <w:r>
        <w:rPr>
          <w:lang w:val="ru-RU"/>
        </w:rPr>
        <w:t xml:space="preserve"> </w:t>
      </w:r>
      <w:r>
        <w:rPr/>
        <w:t>ценообразованию на этапе закупки</w:t>
      </w:r>
      <w:bookmarkEnd w:id="94"/>
      <w:bookmarkEnd w:id="95"/>
      <w:bookmarkEnd w:id="96"/>
    </w:p>
    <w:p>
      <w:pPr>
        <w:pStyle w:val="Heading4"/>
        <w:numPr>
          <w:ilvl w:val="1"/>
          <w:numId w:val="3"/>
        </w:numPr>
        <w:ind w:left="1418" w:hanging="709"/>
        <w:rPr>
          <w:b w:val="false"/>
          <w:bCs w:val="false"/>
          <w:iCs/>
        </w:rPr>
      </w:pPr>
      <w:bookmarkStart w:id="97" w:name="__RefHeading___Toc47689_2939175109"/>
      <w:bookmarkStart w:id="98" w:name="_Toc125123782"/>
      <w:bookmarkStart w:id="99" w:name="_Hlk67315138"/>
      <w:bookmarkEnd w:id="97"/>
      <w:bookmarkEnd w:id="99"/>
      <w:r>
        <w:rPr>
          <w:b w:val="false"/>
          <w:bCs w:val="false"/>
          <w:iCs/>
        </w:rPr>
        <w:t>В обоснование стоимости своей заявки Участник предостав</w:t>
      </w:r>
      <w:r>
        <w:rPr>
          <w:b w:val="false"/>
          <w:bCs w:val="false"/>
          <w:iCs/>
          <w:lang w:val="ru-RU"/>
        </w:rPr>
        <w:t>ляет</w:t>
      </w:r>
      <w:r>
        <w:rPr>
          <w:b w:val="false"/>
          <w:bCs w:val="false"/>
          <w:iCs/>
        </w:rPr>
        <w:t xml:space="preserve"> Коммерческое предложение по форме</w:t>
      </w:r>
      <w:r>
        <w:rPr>
          <w:b w:val="false"/>
          <w:bCs w:val="false"/>
          <w:iCs/>
          <w:lang w:val="ru-RU"/>
        </w:rPr>
        <w:t xml:space="preserve"> (с учетом прилагаемой к ней инструкции по заполнению)</w:t>
      </w:r>
      <w:r>
        <w:rPr>
          <w:b w:val="false"/>
          <w:bCs w:val="false"/>
          <w:iCs/>
        </w:rPr>
        <w:t>, приведенной в Документации о закупке (с указанием понижающего коэффициента).</w:t>
      </w:r>
      <w:bookmarkEnd w:id="98"/>
    </w:p>
    <w:p>
      <w:pPr>
        <w:pStyle w:val="Heading4"/>
        <w:numPr>
          <w:ilvl w:val="1"/>
          <w:numId w:val="3"/>
        </w:numPr>
        <w:ind w:left="1418" w:hanging="709"/>
        <w:rPr>
          <w:b w:val="false"/>
          <w:iCs/>
        </w:rPr>
      </w:pPr>
      <w:bookmarkStart w:id="100" w:name="__RefHeading___Toc47691_2939175109"/>
      <w:bookmarkStart w:id="101" w:name="_Toc125123783"/>
      <w:bookmarkEnd w:id="100"/>
      <w:r>
        <w:rPr>
          <w:b w:val="false"/>
          <w:iCs/>
        </w:rPr>
        <w:t xml:space="preserve">Дополнительные документы по ценообразованию </w:t>
      </w:r>
      <w:r>
        <w:rPr>
          <w:b w:val="false"/>
          <w:iCs/>
          <w:lang w:val="ru-RU"/>
        </w:rPr>
        <w:t>(сметная</w:t>
      </w:r>
      <w:r>
        <w:rPr>
          <w:b w:val="false"/>
          <w:iCs/>
        </w:rPr>
        <w:t xml:space="preserve"> документация</w:t>
      </w:r>
      <w:r>
        <w:rPr>
          <w:b w:val="false"/>
          <w:iCs/>
          <w:lang w:val="ru-RU"/>
        </w:rPr>
        <w:t>)</w:t>
      </w:r>
      <w:r>
        <w:rPr>
          <w:b w:val="false"/>
          <w:iCs/>
        </w:rPr>
        <w:t xml:space="preserve"> в состав заявки Участника не включа</w:t>
      </w:r>
      <w:r>
        <w:rPr>
          <w:b w:val="false"/>
          <w:iCs/>
          <w:lang w:val="ru-RU"/>
        </w:rPr>
        <w:t>ю</w:t>
      </w:r>
      <w:r>
        <w:rPr>
          <w:b w:val="false"/>
          <w:iCs/>
        </w:rPr>
        <w:t>тся».</w:t>
      </w:r>
      <w:bookmarkEnd w:id="101"/>
    </w:p>
    <w:p>
      <w:pPr>
        <w:pStyle w:val="Normal"/>
        <w:rPr>
          <w:lang w:val="x-none" w:eastAsia="x-none"/>
        </w:rPr>
      </w:pPr>
      <w:r>
        <w:rPr>
          <w:lang w:val="x-none" w:eastAsia="x-none"/>
        </w:rPr>
      </w:r>
      <w:bookmarkStart w:id="102" w:name="_Hlk673151381"/>
      <w:bookmarkStart w:id="103" w:name="_Hlk673151381"/>
      <w:bookmarkEnd w:id="103"/>
    </w:p>
    <w:p>
      <w:pPr>
        <w:pStyle w:val="Normal"/>
        <w:rPr>
          <w:bCs/>
          <w:sz w:val="24"/>
          <w:szCs w:val="24"/>
          <w:lang w:eastAsia="x-none"/>
        </w:rPr>
      </w:pPr>
      <w:r>
        <w:rPr>
          <w:bCs/>
          <w:sz w:val="24"/>
          <w:szCs w:val="24"/>
          <w:lang w:eastAsia="x-none"/>
        </w:rPr>
      </w:r>
      <w:r>
        <w:br w:type="page"/>
      </w:r>
    </w:p>
    <w:p>
      <w:pPr>
        <w:pStyle w:val="Heading1"/>
        <w:numPr>
          <w:ilvl w:val="0"/>
          <w:numId w:val="3"/>
        </w:numPr>
        <w:ind w:left="0" w:hanging="0"/>
        <w:jc w:val="center"/>
        <w:rPr>
          <w:rStyle w:val="Style8"/>
          <w:bCs/>
          <w:sz w:val="26"/>
          <w:szCs w:val="26"/>
        </w:rPr>
      </w:pPr>
      <w:bookmarkStart w:id="104" w:name="__RefHeading___Toc47693_2939175109"/>
      <w:bookmarkStart w:id="105" w:name="_Toc125123784"/>
      <w:bookmarkStart w:id="106" w:name="_Toc54618152"/>
      <w:bookmarkStart w:id="107" w:name="_Toc54279845"/>
      <w:bookmarkEnd w:id="104"/>
      <w:r>
        <w:rPr/>
        <w:t xml:space="preserve">Требования к документации по ценообразованию на этапе </w:t>
      </w:r>
      <w:r>
        <w:rPr>
          <w:lang w:val="ru-RU"/>
        </w:rPr>
        <w:t xml:space="preserve"> исполнения</w:t>
      </w:r>
      <w:r>
        <w:rPr/>
        <w:t xml:space="preserve"> договора</w:t>
      </w:r>
      <w:bookmarkEnd w:id="105"/>
      <w:bookmarkEnd w:id="106"/>
      <w:bookmarkEnd w:id="107"/>
    </w:p>
    <w:p>
      <w:pPr>
        <w:pStyle w:val="Normal"/>
        <w:numPr>
          <w:ilvl w:val="1"/>
          <w:numId w:val="11"/>
        </w:numPr>
        <w:spacing w:before="0" w:after="120"/>
        <w:ind w:left="1418" w:hanging="698"/>
        <w:jc w:val="both"/>
        <w:rPr>
          <w:iCs/>
          <w:sz w:val="24"/>
          <w:szCs w:val="24"/>
          <w:highlight w:val="yellow"/>
          <w:lang w:eastAsia="x-none"/>
        </w:rPr>
      </w:pPr>
      <w:r>
        <w:rPr>
          <w:iCs/>
          <w:sz w:val="24"/>
          <w:szCs w:val="24"/>
          <w:lang w:eastAsia="x-none"/>
        </w:rPr>
        <w:t>По результатам настоящей закупки заключается договор с предельной ценой.</w:t>
      </w:r>
    </w:p>
    <w:p>
      <w:pPr>
        <w:pStyle w:val="Normal"/>
        <w:numPr>
          <w:ilvl w:val="1"/>
          <w:numId w:val="11"/>
        </w:numPr>
        <w:spacing w:before="0" w:after="120"/>
        <w:ind w:left="1418" w:hanging="698"/>
        <w:jc w:val="both"/>
        <w:rPr>
          <w:highlight w:val="none"/>
          <w:shd w:fill="auto" w:val="clear"/>
        </w:rPr>
      </w:pPr>
      <w:r>
        <w:rPr>
          <w:iCs/>
          <w:sz w:val="24"/>
          <w:szCs w:val="24"/>
          <w:shd w:fill="auto" w:val="clear"/>
          <w:lang w:eastAsia="x-none"/>
        </w:rPr>
        <w:t>В рамках исполнения договора взаиморасчеты будут осуществляться по смете, выданной Генеральным подрядчиком в производство работ.</w:t>
      </w:r>
    </w:p>
    <w:p>
      <w:pPr>
        <w:pStyle w:val="Normal"/>
        <w:numPr>
          <w:ilvl w:val="1"/>
          <w:numId w:val="11"/>
        </w:numPr>
        <w:spacing w:before="0" w:after="120"/>
        <w:ind w:left="1418" w:hanging="698"/>
        <w:jc w:val="both"/>
        <w:rPr>
          <w:iCs/>
          <w:sz w:val="24"/>
          <w:szCs w:val="24"/>
          <w:lang w:eastAsia="x-none"/>
        </w:rPr>
      </w:pPr>
      <w:r>
        <w:rPr>
          <w:iCs/>
          <w:sz w:val="24"/>
          <w:szCs w:val="24"/>
          <w:lang w:eastAsia="x-none"/>
        </w:rPr>
        <w:t>Генподрядный коэффициент составляет 5% и начисляется в каждой локальной смете к итогу.</w:t>
      </w:r>
    </w:p>
    <w:p>
      <w:pPr>
        <w:pStyle w:val="Normal"/>
        <w:numPr>
          <w:ilvl w:val="1"/>
          <w:numId w:val="11"/>
        </w:numPr>
        <w:spacing w:before="0" w:after="120"/>
        <w:ind w:left="1418" w:hanging="698"/>
        <w:jc w:val="both"/>
        <w:rPr>
          <w:iCs/>
          <w:sz w:val="24"/>
          <w:szCs w:val="24"/>
          <w:lang w:eastAsia="x-none"/>
        </w:rPr>
      </w:pPr>
      <w:r>
        <w:rPr>
          <w:iCs/>
          <w:sz w:val="24"/>
          <w:szCs w:val="24"/>
          <w:lang w:eastAsia="x-none"/>
        </w:rPr>
        <w:t>В случае если стоимость по смете, выданной в производство работ, будет превышать стоимость, указанную в Коммерческом предложении, в ходе исполнения договора Субподрядчику необходимо применить соответствующий дополнительный понижающий коэффициент и откорректировать стоимость в сторону ее уменьшения.</w:t>
      </w:r>
    </w:p>
    <w:p>
      <w:pPr>
        <w:pStyle w:val="Normal"/>
        <w:numPr>
          <w:ilvl w:val="1"/>
          <w:numId w:val="11"/>
        </w:numPr>
        <w:spacing w:before="0" w:after="120"/>
        <w:ind w:left="1418" w:hanging="698"/>
        <w:jc w:val="both"/>
        <w:rPr>
          <w:iCs/>
          <w:sz w:val="24"/>
          <w:szCs w:val="24"/>
          <w:lang w:eastAsia="x-none"/>
        </w:rPr>
      </w:pPr>
      <w:r>
        <w:rPr>
          <w:iCs/>
          <w:sz w:val="24"/>
          <w:szCs w:val="24"/>
          <w:lang w:eastAsia="x-none"/>
        </w:rPr>
        <w:t>В случае если стоимость по смете, выданной в производство работ, будет ниже стоимости, указанной в Коммерческом предложении, взаиморасчеты будут осуществляться по данной смете без увеличения стоимости, указанной в коммерческом предложении.</w:t>
      </w:r>
      <w:r>
        <w:br w:type="page"/>
      </w:r>
    </w:p>
    <w:p>
      <w:pPr>
        <w:pStyle w:val="Heading1"/>
        <w:keepNext w:val="false"/>
        <w:numPr>
          <w:ilvl w:val="0"/>
          <w:numId w:val="3"/>
        </w:numPr>
        <w:ind w:left="0" w:hanging="0"/>
        <w:jc w:val="center"/>
        <w:rPr>
          <w:rStyle w:val="Style8"/>
          <w:bCs/>
          <w:sz w:val="26"/>
          <w:szCs w:val="26"/>
        </w:rPr>
      </w:pPr>
      <w:bookmarkStart w:id="108" w:name="__RefHeading___Toc47695_2939175109"/>
      <w:bookmarkStart w:id="109" w:name="_Toc125123785"/>
      <w:bookmarkStart w:id="110" w:name="_Hlk673152081"/>
      <w:bookmarkStart w:id="111" w:name="_Toc54459814"/>
      <w:bookmarkStart w:id="112" w:name="_Toc54457704"/>
      <w:bookmarkStart w:id="113" w:name="_Toc54279846"/>
      <w:bookmarkStart w:id="114" w:name="_Toc54279725"/>
      <w:bookmarkEnd w:id="108"/>
      <w:bookmarkEnd w:id="110"/>
      <w:bookmarkEnd w:id="111"/>
      <w:bookmarkEnd w:id="112"/>
      <w:bookmarkEnd w:id="113"/>
      <w:bookmarkEnd w:id="114"/>
      <w:r>
        <w:rPr/>
        <w:t>Приложения</w:t>
      </w:r>
      <w:bookmarkEnd w:id="109"/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120"/>
        <w:jc w:val="both"/>
        <w:rPr>
          <w:b/>
          <w:i/>
          <w:i/>
          <w:iCs/>
          <w:sz w:val="24"/>
          <w:szCs w:val="24"/>
          <w:u w:val="single"/>
        </w:rPr>
      </w:pPr>
      <w:r>
        <w:rPr>
          <w:b/>
          <w:i/>
          <w:iCs/>
          <w:sz w:val="24"/>
          <w:szCs w:val="24"/>
          <w:u w:val="single"/>
        </w:rPr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120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Приложение № 1: </w:t>
      </w:r>
      <w:bookmarkStart w:id="115" w:name="_Hlk87545766"/>
      <w:r>
        <w:rPr>
          <w:bCs/>
          <w:iCs/>
          <w:sz w:val="24"/>
          <w:szCs w:val="24"/>
        </w:rPr>
        <w:t>Ведомость объёмов работ</w:t>
      </w:r>
      <w:bookmarkEnd w:id="115"/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120"/>
        <w:jc w:val="both"/>
        <w:rPr/>
      </w:pPr>
      <w:hyperlink w:anchor="Приложение_№2">
        <w:r>
          <w:rPr>
            <w:rStyle w:val="Hyperlink"/>
            <w:bCs/>
            <w:sz w:val="24"/>
            <w:szCs w:val="24"/>
          </w:rPr>
          <w:t>Приложение № 2</w:t>
        </w:r>
      </w:hyperlink>
      <w:r>
        <w:rPr>
          <w:bCs/>
          <w:sz w:val="24"/>
          <w:szCs w:val="24"/>
        </w:rPr>
        <w:t>: Требования к оформлению и составлению документации по ценообразованию.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120"/>
        <w:jc w:val="both"/>
        <w:rPr/>
      </w:pPr>
      <w:r>
        <w:rPr>
          <w:rStyle w:val="Style8"/>
          <w:b w:val="false"/>
          <w:bCs/>
          <w:i w:val="false"/>
          <w:iCs w:val="false"/>
          <w:sz w:val="24"/>
          <w:szCs w:val="24"/>
          <w:shd w:fill="auto" w:val="clear"/>
        </w:rPr>
        <w:t>Приложение № 3: Приказ ПАО «РусГидро» от 28.04.2023 №300 Об утверждении Регламента «Допуск персонала подрядных организаций на объекты ПАО «РусГидро».</w:t>
      </w:r>
    </w:p>
    <w:p>
      <w:pPr>
        <w:pStyle w:val="ListParagraph"/>
        <w:keepNext w:val="true"/>
        <w:shd w:val="clear" w:color="auto" w:fill="FFFFFF"/>
        <w:tabs>
          <w:tab w:val="clear" w:pos="708"/>
          <w:tab w:val="left" w:pos="1134" w:leader="none"/>
          <w:tab w:val="left" w:pos="1418" w:leader="none"/>
        </w:tabs>
        <w:spacing w:before="0" w:after="0"/>
        <w:contextualSpacing w:val="false"/>
        <w:jc w:val="both"/>
        <w:rPr>
          <w:rFonts w:eastAsia="Times New Roman"/>
        </w:rPr>
      </w:pPr>
      <w:r>
        <w:rPr>
          <w:rFonts w:eastAsia="Times New Roman"/>
        </w:rPr>
      </w:r>
    </w:p>
    <w:p>
      <w:pPr>
        <w:pStyle w:val="Normal"/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br w:type="page"/>
      </w:r>
    </w:p>
    <w:p>
      <w:pPr>
        <w:pStyle w:val="Normal"/>
        <w:jc w:val="right"/>
        <w:rPr/>
      </w:pPr>
      <w:bookmarkStart w:id="116" w:name="Приложение_№_1_"/>
      <w:r>
        <w:rPr>
          <w:bCs/>
          <w:sz w:val="24"/>
          <w:szCs w:val="24"/>
        </w:rPr>
        <w:t xml:space="preserve">Приложение № 1 </w:t>
      </w:r>
      <w:bookmarkEnd w:id="116"/>
    </w:p>
    <w:p>
      <w:pPr>
        <w:pStyle w:val="Normal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Ведомость объёмов работ</w:t>
      </w:r>
    </w:p>
    <w:p>
      <w:pPr>
        <w:pStyle w:val="Normal"/>
        <w:jc w:val="center"/>
        <w:rPr>
          <w:sz w:val="24"/>
          <w:szCs w:val="24"/>
        </w:rPr>
      </w:pPr>
      <w:r>
        <w:rPr>
          <w:rFonts w:eastAsia="Calibri"/>
          <w:bCs/>
          <w:iCs/>
          <w:sz w:val="24"/>
          <w:szCs w:val="24"/>
        </w:rPr>
        <w:t>«</w:t>
      </w:r>
      <w:r>
        <w:rPr>
          <w:rFonts w:eastAsia="Calibri"/>
          <w:b w:val="false"/>
          <w:bCs w:val="false"/>
          <w:iCs/>
          <w:sz w:val="24"/>
          <w:szCs w:val="24"/>
        </w:rPr>
        <w:t>Выполнение комплекса работ по монтажу инженерных заграждений и сооружений</w:t>
      </w:r>
      <w:r>
        <w:rPr>
          <w:rFonts w:eastAsia="Calibri"/>
          <w:bCs/>
          <w:iCs/>
          <w:sz w:val="24"/>
          <w:szCs w:val="24"/>
        </w:rPr>
        <w:t>»</w:t>
      </w:r>
      <w:r>
        <w:rPr>
          <w:bCs/>
          <w:sz w:val="24"/>
          <w:szCs w:val="24"/>
        </w:rPr>
        <w:t xml:space="preserve"> </w:t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10382" w:type="dxa"/>
        <w:jc w:val="left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710"/>
        <w:gridCol w:w="6288"/>
        <w:gridCol w:w="790"/>
        <w:gridCol w:w="972"/>
        <w:gridCol w:w="1622"/>
      </w:tblGrid>
      <w:tr>
        <w:trPr>
          <w:trHeight w:val="720" w:hRule="atLeast"/>
        </w:trPr>
        <w:tc>
          <w:tcPr>
            <w:tcW w:w="710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>п/п</w:t>
            </w:r>
          </w:p>
        </w:tc>
        <w:tc>
          <w:tcPr>
            <w:tcW w:w="6288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790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 изм.</w:t>
            </w:r>
          </w:p>
        </w:tc>
        <w:tc>
          <w:tcPr>
            <w:tcW w:w="97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Кол.</w:t>
            </w:r>
          </w:p>
        </w:tc>
        <w:tc>
          <w:tcPr>
            <w:tcW w:w="162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Примечание</w:t>
            </w:r>
          </w:p>
        </w:tc>
      </w:tr>
      <w:tr>
        <w:trPr>
          <w:trHeight w:val="240" w:hRule="atLeast"/>
        </w:trPr>
        <w:tc>
          <w:tcPr>
            <w:tcW w:w="710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288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90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7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2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>
        <w:trPr>
          <w:trHeight w:val="285" w:hRule="atLeast"/>
        </w:trPr>
        <w:tc>
          <w:tcPr>
            <w:tcW w:w="10382" w:type="dxa"/>
            <w:gridSpan w:val="5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Предупредительное (наружное) ограждение с панелями высотой 2200 мм (ПО-2) (Участок 1)</w:t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металлических столбов высотой до 4 м: с погружением в бетонное основание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Смеси бетонные тяжелого бетона (БСТ) на гранитном щебне, класс В20, F(1)150, W6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5,1</w:t>
              <w:br/>
            </w:r>
            <w:r>
              <w:rPr>
                <w:sz w:val="16"/>
                <w:szCs w:val="16"/>
              </w:rPr>
              <w:t>5*1,02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8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 основания под фундаменты: щебеночного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1,37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Щебень из плотных горных пород для строительных работ М 800, фракция 5(3)-10 мм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1,5755</w:t>
              <w:br/>
            </w:r>
            <w:r>
              <w:rPr>
                <w:sz w:val="16"/>
                <w:szCs w:val="16"/>
              </w:rPr>
              <w:t>1,37*1,15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681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Опора подземной части, труба квадратного сечения 80х80 мм с фланцем 210х210х10 мм, L=1500 мм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162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Давальческий материал</w:t>
            </w:r>
          </w:p>
        </w:tc>
      </w:tr>
      <w:tr>
        <w:trPr>
          <w:trHeight w:val="67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Монтаж опор на фланцах на нижестоящие опоры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0,812</w:t>
              <w:br/>
            </w:r>
            <w:r>
              <w:rPr>
                <w:sz w:val="16"/>
                <w:szCs w:val="16"/>
              </w:rPr>
              <w:t>(14*45+14*2+28*2+14*7)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</w:tc>
      </w:tr>
      <w:tr>
        <w:trPr>
          <w:trHeight w:val="91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Опора линейная из треугольной профильной трубы 90х90х90 мм (поперечное сечение 80х80 мм)  с фланцем 220х220х10 мм, L=2200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62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Давальческий материал</w:t>
            </w:r>
          </w:p>
        </w:tc>
      </w:tr>
      <w:tr>
        <w:trPr>
          <w:trHeight w:val="84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Опора линейная из треугольной профильной трубы 90х90х90 мм (поперечное сечение 80х80 мм)  с фланцем 220х220х10 мм, L=2200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2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Давальческий материал</w:t>
            </w:r>
          </w:p>
        </w:tc>
      </w:tr>
      <w:tr>
        <w:trPr>
          <w:trHeight w:val="85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Комплект для внутреннего угла из двух опор из треугольной профильной трубы 90х90х90 мм (поперечное сечение 80х80 мм), L=2200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2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Давальческий материал</w:t>
            </w:r>
          </w:p>
        </w:tc>
      </w:tr>
      <w:tr>
        <w:trPr>
          <w:trHeight w:val="837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Опора линейная для наружного угла  из треугольной профильной трубы 90х90х90 мм (поперечное сечение 80х80 мм)  с фланцем 220х220х10 мм, L=2200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62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Давальческий материал</w:t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 заграждений из готовых металлических решетчатых панелей: высотой более 2 м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</w:tc>
      </w:tr>
      <w:tr>
        <w:trPr>
          <w:trHeight w:val="564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Панель ограждения В2200xШ3000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162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Давальческий материал</w:t>
            </w:r>
          </w:p>
        </w:tc>
      </w:tr>
      <w:tr>
        <w:trPr>
          <w:trHeight w:val="28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Фиксатор крепления панели ограждения ФП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</w:t>
            </w:r>
          </w:p>
        </w:tc>
        <w:tc>
          <w:tcPr>
            <w:tcW w:w="162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Давальческий материал</w:t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 барьеров безопасности: спиральных с креплением на кронштейнах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  <w:br/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СББ диаметр 600 мм, кол-во витков 50 шт./бухта, шипы 0.5 мм, диаметр сердечника 2.5 мм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62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Давальческий материал</w:t>
            </w:r>
          </w:p>
        </w:tc>
      </w:tr>
      <w:tr>
        <w:trPr>
          <w:trHeight w:val="28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Кронштейн для СББ АКЛ ГАН-60Г/ГР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162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Давальческий материал</w:t>
            </w:r>
          </w:p>
        </w:tc>
      </w:tr>
      <w:tr>
        <w:trPr>
          <w:trHeight w:val="28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Фиксатор для крепления проволоки ФК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</w:t>
            </w:r>
          </w:p>
        </w:tc>
        <w:tc>
          <w:tcPr>
            <w:tcW w:w="162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Давальческий материал</w:t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Погрузка вручную неуплотненного грунта из штабелей и отвалов в транспортные средства, группа грунтов: 1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4,35</w:t>
              <w:br/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</w:tr>
      <w:tr>
        <w:trPr>
          <w:trHeight w:val="60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Перевозка грузов I класса автомобилями-самосвалами грузоподъемностью до 15 т на расстояние 25 км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7,395</w:t>
              <w:br/>
            </w:r>
            <w:r>
              <w:rPr>
                <w:sz w:val="16"/>
                <w:szCs w:val="16"/>
              </w:rPr>
              <w:t>4,35*1,7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85" w:hRule="atLeast"/>
        </w:trPr>
        <w:tc>
          <w:tcPr>
            <w:tcW w:w="10382" w:type="dxa"/>
            <w:gridSpan w:val="5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Ворота распашные Вр-2, 2400х6000 мм в составе с верхнем дополнительным ограждением и электроприводом</w:t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Шнековое бурение скважин станками типа СО-2 глубиной бурения до 6 м в грунтах группы: 1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4,35</w:t>
              <w:br/>
            </w:r>
            <w:r>
              <w:rPr>
                <w:sz w:val="16"/>
                <w:szCs w:val="16"/>
              </w:rPr>
              <w:t>2,175*2*1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Погрузка вручную неуплотненного грунта из штабелей и отвалов в транспортные средства, группа грунтов: 1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1,04</w:t>
              <w:br/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579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Перевозка грузов I класса автомобилями-самосвалами грузоподъемностью до 15 т  на расстояние 25 км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1,768</w:t>
              <w:br/>
            </w:r>
            <w:r>
              <w:rPr>
                <w:sz w:val="16"/>
                <w:szCs w:val="16"/>
              </w:rPr>
              <w:t>1,04*1,7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8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 основания под фундаменты: песчаного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0,14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Песок природный для строительных работ II класс, средний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0,154</w:t>
              <w:br/>
            </w:r>
            <w:r>
              <w:rPr>
                <w:sz w:val="16"/>
                <w:szCs w:val="16"/>
              </w:rPr>
              <w:t>0,14*1,1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36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 фундаментов-столбов: бетонных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0,82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Смеси бетонные тяжелого бетона (БСТ) на гранитном щебне, класс В20, F(1)150, W6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0,8364</w:t>
              <w:br/>
            </w:r>
            <w:r>
              <w:rPr>
                <w:sz w:val="16"/>
                <w:szCs w:val="16"/>
              </w:rPr>
              <w:t>0,82*1,02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закладных деталей весом: свыше 20 кг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0,092</w:t>
              <w:br/>
            </w:r>
            <w:r>
              <w:rPr>
                <w:sz w:val="16"/>
                <w:szCs w:val="16"/>
              </w:rPr>
              <w:t>2*46/1000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90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Детали закладные и накладные изготовленные с применением сварки, гнутья, сверления (пробивки) отверстий (при наличии одной из этих операций или всего перечня в любых сочетаниях), поставляемые отдельно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0,092</w:t>
              <w:br/>
            </w:r>
            <w:r>
              <w:rPr>
                <w:sz w:val="16"/>
                <w:szCs w:val="16"/>
              </w:rPr>
              <w:t>2*46/1000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28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Монтаж ворот распашных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3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Монтаж кронштейнов на столбах и створках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8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Монтаж привода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Шкаф (пульт) управления навесной, высота, ширина и глубина: до 600х600х350 мм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03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Монтаж фотоэлемента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Монтаж сигнальной лампы, кнопки STOP, замка электромагнитного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  <w:br/>
            </w:r>
            <w:r>
              <w:rPr>
                <w:sz w:val="16"/>
                <w:szCs w:val="16"/>
              </w:rPr>
              <w:t>2*1+2*1+2*1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76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Монтаж светофора двухсекционного светодиодного TL-LED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Монтаж фиксаторов открывания ворот с колодкой  фиксации открытия, проушин для замка навесного и засов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  <w:br/>
            </w:r>
            <w:r>
              <w:rPr>
                <w:sz w:val="16"/>
                <w:szCs w:val="16"/>
              </w:rPr>
              <w:t>2+2+1+1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 барьеров безопасности: плоских с креплением на кронштейнах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6,15</w:t>
              <w:br/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Ворота распашные Вр-2, 2400х6000 мм в составе с верхнем дополнительным ограждением и электроприводом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2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Давальческий материал</w:t>
            </w:r>
          </w:p>
        </w:tc>
      </w:tr>
      <w:tr>
        <w:trPr>
          <w:trHeight w:val="324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 бетонной подготовки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0,18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Раствор готовый кладочный, цементно-песчаный, М150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0,1836</w:t>
              <w:br/>
            </w:r>
            <w:r>
              <w:rPr>
                <w:sz w:val="16"/>
                <w:szCs w:val="16"/>
              </w:rPr>
              <w:t>0,18*1,02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10382" w:type="dxa"/>
            <w:gridSpan w:val="5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Ворота откатные Во-1, 2200х6000 мм с опорами на фланцах  составе с верхнем дополнительным ограждением и электроприводом.</w:t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грунта в котлованах объемом до 500 м3 экскаваторами с ковшом вместимостью 0,4 (0,35-0,45) м3, группа грунтов: 1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  <w:br/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грунта вручную в траншеях глубиной до 2 м без креплений с откосами, группа грунтов: 1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  <w:br/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Уплотнение грунта виброплитами, группа грунтов: 1-2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5,8</w:t>
              <w:br/>
            </w:r>
            <w:r>
              <w:rPr>
                <w:sz w:val="16"/>
                <w:szCs w:val="16"/>
              </w:rPr>
              <w:t>29*0,2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Засыпка вручную траншей, пазух котлованов и ям, группа грунтов: 1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  <w:br/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46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Уплотнение грунта виброплитами, группа грунтов: 1-2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Погрузка вручную неуплотненного грунта из штабелей и отвалов в транспортные средства, группа грунтов: 1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  <w:br/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60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Перевозка грузов I класса автомобилями-самосвалами грузоподъемностью до 15 т  на расстояние 25 км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13,6</w:t>
              <w:br/>
            </w:r>
            <w:r>
              <w:rPr>
                <w:sz w:val="16"/>
                <w:szCs w:val="16"/>
              </w:rPr>
              <w:t>8*1,7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3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 бетонной подготовки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0,34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Смеси бетонные тяжелого бетона (БСТ) на гранитном щебне, класс В7,5, F(1)100, W4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0,3468</w:t>
              <w:br/>
            </w:r>
            <w:r>
              <w:rPr>
                <w:sz w:val="16"/>
                <w:szCs w:val="16"/>
              </w:rPr>
              <w:t>0,34*1,02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 железобетонных фундаментов общего назначения под колонны объемом: до 5 м3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4,94</w:t>
              <w:br/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Смеси бетонные тяжелого бетона (БСТ) на гранитном щебне, класс В20, F(1)150, W6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5,0141</w:t>
              <w:br/>
            </w:r>
            <w:r>
              <w:rPr>
                <w:sz w:val="16"/>
                <w:szCs w:val="16"/>
              </w:rPr>
              <w:t>4,94*1,015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Прокат арматурный для железобетонных конструкций, класс A500C, диаметр 16 мм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0,08208</w:t>
              <w:br/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Прокат арматурный для железобетонных конструкций, класс A500C, диаметр 10 мм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0,01559</w:t>
              <w:br/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Сталь арматурная горячекатаная гладкая, класс A-I, диаметр 6-22 мм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0,03</w:t>
              <w:br/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Гидроизоляция боковая обмазочная битумная в 2 слоя по выровненной поверхности бутовой кладки, кирпичу, бетону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м2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16,3</w:t>
              <w:br/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84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Мастика битумная гидроизоляционная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32,6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97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Праймер битумный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4,89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8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 бетонной подготовки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0,144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Смеси бетонные тяжелого бетона (БСТ) на гранитном щебне, класс В7,5, F(1)100, W4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0,14688</w:t>
              <w:br/>
            </w:r>
            <w:r>
              <w:rPr>
                <w:sz w:val="16"/>
                <w:szCs w:val="16"/>
              </w:rPr>
              <w:t>0,144*1,02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 железобетонных фундаментов общего назначения под колонны объемом: до 3 м3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1,9</w:t>
              <w:br/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Смеси бетонные тяжелого бетона (БСТ) на гранитном щебне, класс В20, F(1)150, W6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1,938</w:t>
              <w:br/>
            </w:r>
            <w:r>
              <w:rPr>
                <w:sz w:val="16"/>
                <w:szCs w:val="16"/>
              </w:rPr>
              <w:t>1,9*1,02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Прокат арматурный для железобетонных конструкций, класс A500C, диаметр 16 мм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0,05016</w:t>
              <w:br/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Прокат арматурный для железобетонных конструкций, класс A500C, диаметр 10 мм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0,00592</w:t>
              <w:br/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Сталь арматурная горячекатаная гладкая, класс A-I, диаметр 6-22 мм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0,0122</w:t>
              <w:br/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Гидроизоляция боковая обмазочная битумная в 2 слоя по выровненной поверхности бутовой кладки, кирпичу, бетону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м2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8,6</w:t>
              <w:br/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21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Мастика битумная гидроизоляционная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17,2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4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Праймер битумный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2,58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8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 бетонной подготовки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0,07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Смеси бетонные тяжелого бетона (БСТ) на гранитном щебне, класс В7,5, F(1)100, W4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0,0714</w:t>
              <w:br/>
            </w:r>
            <w:r>
              <w:rPr>
                <w:sz w:val="16"/>
                <w:szCs w:val="16"/>
              </w:rPr>
              <w:t>0,07*1,02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 железобетонных фундаментов общего назначения под колонны объемом: до 3 м3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0,81</w:t>
              <w:br/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Смеси бетонные тяжелого бетона (БСТ) на гранитном щебне, класс В20, F(1)150, W6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0,8262</w:t>
              <w:br/>
            </w:r>
            <w:r>
              <w:rPr>
                <w:sz w:val="16"/>
                <w:szCs w:val="16"/>
              </w:rPr>
              <w:t>0,81*1,02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Прокат арматурный для железобетонных конструкций, класс A500C, диаметр 16 мм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0,02736</w:t>
              <w:br/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Прокат арматурный для железобетонных конструкций, класс A500C, диаметр 10 мм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0,00301</w:t>
              <w:br/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Сталь арматурная горячекатаная гладкая, класс A-I, диаметр 6-22 мм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0,00745</w:t>
              <w:br/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Гидроизоляция боковая обмазочная битумная в 2 слоя по выровненной поверхности бутовой кладки, кирпичу, бетону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м2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5,4</w:t>
              <w:br/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1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Мастика битумная гидроизоляционная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10,8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4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Праймер битумный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1,62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3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Монтаж ворот откатных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1,8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67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Шпильки анкерные стальные оцинкованные для клеевых анкеров в комплекте с гайкой и шайбой, класс прочности 8.8, наружная резьба М30, длина шпильки 380 мм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  <w:br/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67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Шпильки анкерные стальные оцинкованные для клеевых анкеров в комплекте с гайкой и шайбой, класс прочности 8.8, наружная резьба М16, длина шпильки 190 мм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  <w:br/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13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 клеевой двухкомпонентный инъекционный на основе эпоксидной смолы для устройства анкерных креплений, восстановления арматурных выпусков и тяжелых анкерных креплений в бетоне с возможностью установки во влажных отверстиях и под водой, температура эксплуатации от -60 °C до +80 °C, сейсмостойкость 7-9 баллов, объем 500 мл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67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Ворота откатные Во-1, 3500х6000 мм с опорами на фланцах  составе с верхнем дополнительным ограждением и электроприводом, цвет RAL 9006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2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Давальческий материал</w:t>
            </w:r>
          </w:p>
        </w:tc>
      </w:tr>
      <w:tr>
        <w:trPr>
          <w:trHeight w:val="28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Монтаж привода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8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Монтаж фотоэлемента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8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Монтаж сигнальной лампы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90" w:hRule="atLeast"/>
        </w:trPr>
        <w:tc>
          <w:tcPr>
            <w:tcW w:w="10382" w:type="dxa"/>
            <w:gridSpan w:val="5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Стандартные изделия</w:t>
            </w:r>
          </w:p>
        </w:tc>
      </w:tr>
      <w:tr>
        <w:trPr>
          <w:trHeight w:val="28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Шайба уширительная 6.04.019 А2 NFE 25-514 L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</w:t>
            </w:r>
          </w:p>
        </w:tc>
        <w:tc>
          <w:tcPr>
            <w:tcW w:w="162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Давальческий материал</w:t>
            </w:r>
          </w:p>
        </w:tc>
      </w:tr>
      <w:tr>
        <w:trPr>
          <w:trHeight w:val="28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Шайба гровер 6.04.019G-В А4 DIN127B ГОСТ 6402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</w:t>
            </w:r>
          </w:p>
        </w:tc>
        <w:tc>
          <w:tcPr>
            <w:tcW w:w="162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Давальческий материал</w:t>
            </w:r>
          </w:p>
        </w:tc>
      </w:tr>
      <w:tr>
        <w:trPr>
          <w:trHeight w:val="28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Винт М6-20 А2 ART 9121 ISO 7380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</w:t>
            </w:r>
          </w:p>
        </w:tc>
        <w:tc>
          <w:tcPr>
            <w:tcW w:w="162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Давальческий материал</w:t>
            </w:r>
          </w:p>
        </w:tc>
      </w:tr>
      <w:tr>
        <w:trPr>
          <w:trHeight w:val="28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Шайба уширительная 8.04.019 А2 NFE 25-514 L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</w:t>
            </w:r>
          </w:p>
        </w:tc>
        <w:tc>
          <w:tcPr>
            <w:tcW w:w="162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Давальческий материал</w:t>
            </w:r>
          </w:p>
        </w:tc>
      </w:tr>
      <w:tr>
        <w:trPr>
          <w:trHeight w:val="28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Шайба гровер 8.04.019G-В А4 DIN127B ГОСТ 6402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</w:t>
            </w:r>
          </w:p>
        </w:tc>
        <w:tc>
          <w:tcPr>
            <w:tcW w:w="162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Давальческий материал</w:t>
            </w:r>
          </w:p>
        </w:tc>
      </w:tr>
      <w:tr>
        <w:trPr>
          <w:trHeight w:val="28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Винт М8-40 А2 ART 9121 ISO 7380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420</w:t>
            </w:r>
          </w:p>
        </w:tc>
        <w:tc>
          <w:tcPr>
            <w:tcW w:w="162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Давальческий материал</w:t>
            </w:r>
          </w:p>
        </w:tc>
      </w:tr>
      <w:tr>
        <w:trPr>
          <w:trHeight w:val="28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Болт М12х90 мм DIN 933 ISO 4017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</w:t>
            </w:r>
          </w:p>
        </w:tc>
        <w:tc>
          <w:tcPr>
            <w:tcW w:w="162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Давальческий материал</w:t>
            </w:r>
          </w:p>
        </w:tc>
      </w:tr>
      <w:tr>
        <w:trPr>
          <w:trHeight w:val="28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Шайба гровер М12  DIN 127 ГОСТ 6402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</w:t>
            </w:r>
          </w:p>
        </w:tc>
        <w:tc>
          <w:tcPr>
            <w:tcW w:w="162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Давальческий материал</w:t>
            </w:r>
          </w:p>
        </w:tc>
      </w:tr>
      <w:tr>
        <w:trPr>
          <w:trHeight w:val="28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Гайка М12  DIN 934 ГОСТ 5915-70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</w:t>
            </w:r>
          </w:p>
        </w:tc>
        <w:tc>
          <w:tcPr>
            <w:tcW w:w="162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Давальческий материал</w:t>
            </w:r>
          </w:p>
        </w:tc>
      </w:tr>
      <w:tr>
        <w:trPr>
          <w:trHeight w:val="28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Шайба уширительная 12.04.019 А2 NFE 25-514 L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</w:t>
            </w:r>
          </w:p>
        </w:tc>
        <w:tc>
          <w:tcPr>
            <w:tcW w:w="162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Давальческий материал</w:t>
            </w:r>
          </w:p>
        </w:tc>
      </w:tr>
      <w:tr>
        <w:trPr>
          <w:trHeight w:val="285" w:hRule="atLeast"/>
        </w:trPr>
        <w:tc>
          <w:tcPr>
            <w:tcW w:w="10382" w:type="dxa"/>
            <w:gridSpan w:val="5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Предупредительное (наружное) ограждение с панелями высотой 2200 мм (ПО-2) (Участок 2)</w:t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металлических столбов высотой до 4 м: с погружением в бетонное основание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  <w:br/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Смеси бетонные тяжелого бетона (БСТ) на гранитном щебне, класс В20, F(1)150, W6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2,346</w:t>
              <w:br/>
            </w:r>
            <w:r>
              <w:rPr>
                <w:sz w:val="16"/>
                <w:szCs w:val="16"/>
              </w:rPr>
              <w:t>2,3*1,02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8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 основания под фундаменты: щебеночного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0,46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Щебень из плотных горных пород для строительных работ М 800, фракция 5(3)-10 мм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0,529</w:t>
              <w:br/>
            </w:r>
            <w:r>
              <w:rPr>
                <w:sz w:val="16"/>
                <w:szCs w:val="16"/>
              </w:rPr>
              <w:t>0,46*1,15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648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Опора подземной части, труба квадратного сечения 80х80 мм с фланцем 210х210х10 мм, L=1500 мм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62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Давальческий материал</w:t>
            </w:r>
          </w:p>
        </w:tc>
      </w:tr>
      <w:tr>
        <w:trPr>
          <w:trHeight w:val="67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Монтаж опор на фланцах на нижестоящие опоры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0,238</w:t>
              <w:br/>
            </w:r>
            <w:r>
              <w:rPr>
                <w:sz w:val="16"/>
                <w:szCs w:val="16"/>
              </w:rPr>
              <w:t>(14*14+14*2+14*1)/1000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>
          <w:trHeight w:val="85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Опора линейная из треугольной профильной трубы 90х90х90 мм (поперечное сечение 80х80 мм)  с фланцем 220х220х10 мм, L=2200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62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Давальческий материал</w:t>
            </w:r>
          </w:p>
        </w:tc>
      </w:tr>
      <w:tr>
        <w:trPr>
          <w:trHeight w:val="88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Опора линейная (дополнительная) из треугольной профильной трубы 90х90х90 мм (поперечное сечение 80х80 мм)  с фланцем 220х220х10 мм, L=2200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2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Давальческий материал</w:t>
            </w:r>
          </w:p>
        </w:tc>
      </w:tr>
      <w:tr>
        <w:trPr>
          <w:trHeight w:val="90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Опора линейная для наружного угла  из треугольной профильной трубы 90х90х90 мм (поперечное сечение 80х80 мм)  с фланцем 220х220х10 мм, L=2200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2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Давальческий материал</w:t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 заграждений из готовых металлических решетчатых панелей: высотой более 2 м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  <w:br/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</w:p>
        </w:tc>
      </w:tr>
      <w:tr>
        <w:trPr>
          <w:trHeight w:val="408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Панель ограждения В2200xШ3000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62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Давальческий материал</w:t>
            </w:r>
          </w:p>
        </w:tc>
      </w:tr>
      <w:tr>
        <w:trPr>
          <w:trHeight w:val="28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Фиксатор крепления панели ограждения ФП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162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Давальческий материал</w:t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 барьеров безопасности: спиральных с креплением на кронштейнах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  <w:br/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Давальческий материал</w:t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СББ диаметр 600 мм, кол-во витков 50 шт./бухта, шипы 0.5 мм, диаметр сердечника 2.5 мм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62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Давальческий материал</w:t>
            </w:r>
          </w:p>
        </w:tc>
      </w:tr>
      <w:tr>
        <w:trPr>
          <w:trHeight w:val="28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Кронштейн для СББ АКЛ ГАН-60Г/ГР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62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Давальческий материал</w:t>
            </w:r>
          </w:p>
        </w:tc>
      </w:tr>
      <w:tr>
        <w:trPr>
          <w:trHeight w:val="28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Фиксатор для крепления проволоки ФК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162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Давальческий материал</w:t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Погрузка вручную неуплотненного грунта из штабелей и отвалов в транспортные средства, группа грунтов: 1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1,86</w:t>
              <w:br/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58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Перевозка грузов I класса автомобилями-самосвалами грузоподъемностью до 15 т  на расстояние 25 км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3,162</w:t>
              <w:br/>
            </w:r>
            <w:r>
              <w:rPr>
                <w:sz w:val="16"/>
                <w:szCs w:val="16"/>
              </w:rPr>
              <w:t>1,86*1,7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85" w:hRule="atLeast"/>
        </w:trPr>
        <w:tc>
          <w:tcPr>
            <w:tcW w:w="10382" w:type="dxa"/>
            <w:gridSpan w:val="5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Стандартные изделия</w:t>
            </w:r>
          </w:p>
        </w:tc>
      </w:tr>
      <w:tr>
        <w:trPr>
          <w:trHeight w:val="28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Шайба уширительная 6.04.019 А2 NFE 25-514 L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62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Давальческий материал</w:t>
            </w:r>
          </w:p>
        </w:tc>
      </w:tr>
      <w:tr>
        <w:trPr>
          <w:trHeight w:val="28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Шайба гровер 6.04.019G-В А4 DIN127B ГОСТ 6402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62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Давальческий материал</w:t>
            </w:r>
          </w:p>
        </w:tc>
      </w:tr>
      <w:tr>
        <w:trPr>
          <w:trHeight w:val="28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Винт М6-20 А2 ART 9121 ISO 7380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162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Давальческий материал</w:t>
            </w:r>
          </w:p>
        </w:tc>
      </w:tr>
      <w:tr>
        <w:trPr>
          <w:trHeight w:val="28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Шайба уширительная 8.04.019 А2 NFE 25-514 L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62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Давальческий материал</w:t>
            </w:r>
          </w:p>
        </w:tc>
      </w:tr>
      <w:tr>
        <w:trPr>
          <w:trHeight w:val="28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Шайба гровер 8.04.019G-В А4 DIN127B ГОСТ 6402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62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Давальческий материал</w:t>
            </w:r>
          </w:p>
        </w:tc>
      </w:tr>
      <w:tr>
        <w:trPr>
          <w:trHeight w:val="28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Винт М8-40 А2 ART 9121 ISO 7380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</w:t>
            </w:r>
          </w:p>
        </w:tc>
        <w:tc>
          <w:tcPr>
            <w:tcW w:w="162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Давальческий материал</w:t>
            </w:r>
          </w:p>
        </w:tc>
      </w:tr>
      <w:tr>
        <w:trPr>
          <w:trHeight w:val="28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Болт М12х90 мм DIN 933 ISO 4017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162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Давальческий материал</w:t>
            </w:r>
          </w:p>
        </w:tc>
      </w:tr>
      <w:tr>
        <w:trPr>
          <w:trHeight w:val="28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Шайба гровер М12  DIN 127 ГОСТ 6402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62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Давальческий материал</w:t>
            </w:r>
          </w:p>
        </w:tc>
      </w:tr>
      <w:tr>
        <w:trPr>
          <w:trHeight w:val="28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Гайка М12  DIN 934 ГОСТ 5915-70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62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Давальческий материал</w:t>
            </w:r>
          </w:p>
        </w:tc>
      </w:tr>
      <w:tr>
        <w:trPr>
          <w:trHeight w:val="28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Шайба уширительная 12.04.019 А2 NFE 25-514 L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62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Давальческий материал</w:t>
            </w:r>
          </w:p>
        </w:tc>
      </w:tr>
      <w:tr>
        <w:trPr>
          <w:trHeight w:val="285" w:hRule="atLeast"/>
        </w:trPr>
        <w:tc>
          <w:tcPr>
            <w:tcW w:w="10382" w:type="dxa"/>
            <w:gridSpan w:val="5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Бронированная наблюдательная вышка (РД, лист 12) (Участок 2)</w:t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грунта в котлованах объемом до 500 м3 экскаваторами с ковшом вместимостью 0,4 (0,35-0,45) м3, группа грунтов: 1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19,5</w:t>
              <w:br/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грунта вручную в траншеях глубиной до 2 м без креплений с откосами, группа грунтов: 1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2,1</w:t>
              <w:br/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Уплотнение грунта виброплитами, группа грунтов: 1-2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3,2</w:t>
              <w:br/>
            </w:r>
            <w:r>
              <w:rPr>
                <w:sz w:val="16"/>
                <w:szCs w:val="16"/>
              </w:rPr>
              <w:t>16*0,2*1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Погрузка вручную неуплотненного грунта из штабелей и отвалов в транспортные средства, группа грунтов: 1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21,6</w:t>
              <w:br/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558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Перевозка грузов I класса автомобилями-самосвалами грузоподъемностью до 15 т  на расстояние 25 км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36,72</w:t>
              <w:br/>
            </w:r>
            <w:r>
              <w:rPr>
                <w:sz w:val="16"/>
                <w:szCs w:val="16"/>
              </w:rPr>
              <w:t>21,6*1*1,7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8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 основания под фундаменты: щебеночного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Щебень из плотных горных пород для строительных работ М 800, фракция 20-40 мм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18,4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67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 бетонной подготовки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Смеси бетонные тяжелого бетона (БСТ) на гранитном щебне, класс В7,5, F(1)100, W4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1,02</w:t>
              <w:br/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78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 фундаментных плит железобетонных: плоских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6,6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Смеси бетонные тяжелого бетона (БСТ) на гранитном щебне, класс В20, F(1)150, W6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6,699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Прокат арматурный для железобетонных конструкций, класс A500C, диаметр 16 мм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0,44308</w:t>
              <w:br/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Прокат арматурный для железобетонных конструкций, класс A500C, диаметр 10 мм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0,00696</w:t>
              <w:br/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Сталь арматурная горячекатаная гладкая, класс A-I, диаметр 6-22 мм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0,00752</w:t>
              <w:br/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67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закладных деталей весом: до 4 кг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0,06408</w:t>
              <w:br/>
            </w:r>
            <w:r>
              <w:rPr>
                <w:sz w:val="16"/>
                <w:szCs w:val="16"/>
              </w:rPr>
              <w:t>(3,77*16+0,47*8)/1000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8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Анкер. болт с гайк. М16/20х300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Болты анкерные фундаментные стальные в комплекте с двумя гайками М24 и шайбами М24, тип 1, диаметр М24 (Болт 1.1 М24х900 09Г2С-6)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0,06032</w:t>
              <w:br/>
            </w:r>
            <w:r>
              <w:rPr>
                <w:sz w:val="16"/>
                <w:szCs w:val="16"/>
              </w:rPr>
              <w:t>3,77*16/1000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Прокат арматурный для железобетонных конструкций, класс A500C, диаметр 8 мм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0,00964</w:t>
              <w:br/>
            </w:r>
            <w:r>
              <w:rPr>
                <w:sz w:val="16"/>
                <w:szCs w:val="16"/>
              </w:rPr>
              <w:t>9,64/1000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Гидроизоляция боковая обмазочная битумная в 2 слоя по выровненной поверхности бутовой кладки, кирпичу, бетону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м2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16,8</w:t>
              <w:br/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36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Мастика битумная гидроизоляционная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33,6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67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Праймер битумный для подготовки поверхности из бетона, цемента и металла перед нанесением гидроизоляционных материалов, расход 0,20-0,28 кг/м2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5,04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8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Монтаж бронированной наблюдательной вышки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Бронированная наблюдательная вышка  (2300х2300х7500 мм) Комплектация «Стандарт»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2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Давальческое оборудование</w:t>
            </w:r>
          </w:p>
        </w:tc>
      </w:tr>
      <w:tr>
        <w:trPr>
          <w:trHeight w:val="33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 бетонной отмостки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1,6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Смеси бетонные тяжелого бетона (БСТ) на гранитном щебне, класс В20, F(1)150, W6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1,632</w:t>
              <w:br/>
            </w:r>
            <w:r>
              <w:rPr>
                <w:sz w:val="16"/>
                <w:szCs w:val="16"/>
              </w:rPr>
              <w:t>1,6*1,02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85" w:hRule="atLeast"/>
        </w:trPr>
        <w:tc>
          <w:tcPr>
            <w:tcW w:w="10382" w:type="dxa"/>
            <w:gridSpan w:val="5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Будка постового</w:t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грунта в котлованах объемом до 500 м3 экскаваторами с ковшом вместимостью 0,4 (0,35-0,45) м3, группа грунтов: 1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8,4</w:t>
              <w:br/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грунта вручную в траншеях глубиной до 2 м без креплений с откосами, группа грунтов: 1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</w:t>
              <w:br/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Уплотнение грунта виброплитами, группа грунтов: 1-2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2,18</w:t>
              <w:br/>
            </w:r>
            <w:r>
              <w:rPr>
                <w:sz w:val="16"/>
                <w:szCs w:val="16"/>
              </w:rPr>
              <w:t>10,9*0,2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Погрузка вручную неуплотненного грунта из штабелей и отвалов в транспортные средства, группа грунтов: 1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9,3</w:t>
              <w:br/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63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Перевозка грузов I класса автомобилями-самосвалами грузоподъемностью до 15 т  на расстояние 25 км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15,81</w:t>
              <w:br/>
            </w:r>
            <w:r>
              <w:rPr>
                <w:sz w:val="16"/>
                <w:szCs w:val="16"/>
              </w:rPr>
              <w:t>9,3*1,7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8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 основания под фундаменты: щебеночного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9,45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Щебень из плотных горных пород для строительных работ М 800, фракция 20-40 мм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10,8675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48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 бетонной подготовки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0,53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Смеси бетонные тяжелого бетона (БСТ) на гранитном щебне, класс В7,5, F(1)100, W4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0,5406</w:t>
              <w:br/>
            </w:r>
            <w:r>
              <w:rPr>
                <w:sz w:val="16"/>
                <w:szCs w:val="16"/>
              </w:rPr>
              <w:t>0,53*1,02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 фундаментных плит железобетонных: плоских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0,88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Смеси бетонные тяжелого бетона (БСТ) на гранитном щебне, класс В20, F(1)150, W6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0,8932</w:t>
              <w:br/>
            </w:r>
            <w:r>
              <w:rPr>
                <w:sz w:val="16"/>
                <w:szCs w:val="16"/>
              </w:rPr>
              <w:t>0,88*1,015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Прокат арматурный для железобетонных конструкций, класс A500C, диаметр 12 мм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0,12364</w:t>
              <w:br/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Сталь арматурная горячекатаная гладкая, класс A-I, диаметр 6-22 мм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0,0024</w:t>
              <w:br/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09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Гидроизоляция боковая обмазочная битумная в 2 слоя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м2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3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Мастика битумная гидроизоляционная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8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Праймер битумный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3,9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8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бронекабин: на готовый фундамент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Будка постового 9-ТПиР-2024-ИТСЗ.ОЛ1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компл.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2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Давальческое оборудование</w:t>
            </w:r>
          </w:p>
        </w:tc>
      </w:tr>
      <w:tr>
        <w:trPr>
          <w:trHeight w:val="285" w:hRule="atLeast"/>
        </w:trPr>
        <w:tc>
          <w:tcPr>
            <w:tcW w:w="10382" w:type="dxa"/>
            <w:gridSpan w:val="5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Мобильный смотровой  помост (Участок 1)</w:t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167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Монтаж площадок с настилом и ограждением из листовой, рифленой, просечной и круглой стали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0,08</w:t>
              <w:br/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86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Мобильный смотровой помост односторонний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компл.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2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Давальческое оборудование</w:t>
            </w:r>
          </w:p>
        </w:tc>
      </w:tr>
      <w:tr>
        <w:trPr>
          <w:trHeight w:val="285" w:hRule="atLeast"/>
        </w:trPr>
        <w:tc>
          <w:tcPr>
            <w:tcW w:w="10382" w:type="dxa"/>
            <w:gridSpan w:val="5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Знаки предупредительные</w:t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169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указателя на стене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  <w:br/>
            </w:r>
            <w:r>
              <w:rPr>
                <w:sz w:val="16"/>
                <w:szCs w:val="16"/>
              </w:rPr>
              <w:t>2+2+3+3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 предупредительный "Запретная зона! Проезд (проход) запрещён закрыт"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2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Давальческий материал</w:t>
            </w:r>
          </w:p>
        </w:tc>
      </w:tr>
      <w:tr>
        <w:trPr>
          <w:trHeight w:val="28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171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 предупредительный "Проезд запрещён (закрыт)"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2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Давальческий материал</w:t>
            </w:r>
          </w:p>
        </w:tc>
      </w:tr>
      <w:tr>
        <w:trPr>
          <w:trHeight w:val="28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 предупредительный "Внимание! Охраняемая территория"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2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Давальческий материал</w:t>
            </w:r>
          </w:p>
        </w:tc>
      </w:tr>
      <w:tr>
        <w:trPr>
          <w:trHeight w:val="28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 предупредительный "Запретная граница"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2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Давальческий материал</w:t>
            </w:r>
          </w:p>
        </w:tc>
      </w:tr>
      <w:tr>
        <w:trPr>
          <w:trHeight w:val="28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174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Лента монтажная оцинкованная KVA 25х1,0мм Dперф.=3 и 8мм L=200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10,8</w:t>
            </w:r>
          </w:p>
        </w:tc>
        <w:tc>
          <w:tcPr>
            <w:tcW w:w="162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Давальческий материал</w:t>
            </w:r>
          </w:p>
        </w:tc>
      </w:tr>
      <w:tr>
        <w:trPr>
          <w:trHeight w:val="67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Болты стальные оцинкованные с шестигранной головкой и оцинкованной шестигранной гайкой, диаметр резьбы болта и гайки М8, длина болта 16-100 мм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1,2744</w:t>
              <w:br/>
            </w:r>
            <w:r>
              <w:rPr>
                <w:sz w:val="16"/>
                <w:szCs w:val="16"/>
              </w:rPr>
              <w:t>(13,8*54+4*108+1,8*54)/1000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85" w:hRule="atLeast"/>
        </w:trPr>
        <w:tc>
          <w:tcPr>
            <w:tcW w:w="10382" w:type="dxa"/>
            <w:gridSpan w:val="5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Знаки предупредительные  (Участок 2)</w:t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указателя на стене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  <w:br/>
            </w:r>
            <w:r>
              <w:rPr>
                <w:sz w:val="16"/>
                <w:szCs w:val="16"/>
              </w:rPr>
              <w:t>8+8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8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177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 предупредительный "Внимание! Охраняемая территория"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62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Давальческий материал</w:t>
            </w:r>
          </w:p>
        </w:tc>
      </w:tr>
      <w:tr>
        <w:trPr>
          <w:trHeight w:val="28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 предупредительный "Запретная граница"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62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Давальческий материал</w:t>
            </w:r>
          </w:p>
        </w:tc>
      </w:tr>
      <w:tr>
        <w:trPr>
          <w:trHeight w:val="28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179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Лента монтажная оцинкованная KVA 25х1,0мм Dперф.=3 и 8мм L=200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62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Давальческий материал</w:t>
            </w:r>
          </w:p>
        </w:tc>
      </w:tr>
      <w:tr>
        <w:trPr>
          <w:trHeight w:val="67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Болты стальные оцинкованные с шестигранной головкой и оцинкованной шестигранной гайкой, диаметр резьбы болта и гайки М8, длина болта 16-100 мм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1,18</w:t>
              <w:br/>
            </w:r>
            <w:r>
              <w:rPr>
                <w:sz w:val="16"/>
                <w:szCs w:val="16"/>
              </w:rPr>
              <w:t>(13,8*50+4*100+1,8*50)/1000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85" w:hRule="atLeast"/>
        </w:trPr>
        <w:tc>
          <w:tcPr>
            <w:tcW w:w="10382" w:type="dxa"/>
            <w:gridSpan w:val="5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Дорожные знаки (Участок 1)</w:t>
            </w:r>
          </w:p>
        </w:tc>
      </w:tr>
      <w:tr>
        <w:trPr>
          <w:trHeight w:val="28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181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 основания под фундаменты: песчаного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0,112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8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Песок природный для строительных работ II класс, средний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0,1232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89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 фундаментов-столбов: бетонных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0,245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184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Смеси бетонные тяжелого бетона (БСТ) на гранитном щебне, класс В15, F(1)100, W4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0,2499</w:t>
              <w:br/>
            </w:r>
            <w:r>
              <w:rPr>
                <w:sz w:val="16"/>
                <w:szCs w:val="16"/>
              </w:rPr>
              <w:t>0,245*1,02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дорожных знаков бесфундаментных: на металлических стойках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  <w:br/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1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186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Эмаль ХВ-785, цветная, белый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0,001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2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187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Грунтовка ХС-010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0,00084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579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Конструкции стальные индивидуального изготовления из сортового проката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1"/>
                <w:szCs w:val="21"/>
              </w:rPr>
              <w:t>0,0500675</w:t>
            </w:r>
            <w:r>
              <w:rPr>
                <w:sz w:val="24"/>
                <w:szCs w:val="24"/>
              </w:rPr>
              <w:br/>
            </w:r>
            <w:r>
              <w:rPr>
                <w:sz w:val="16"/>
                <w:szCs w:val="16"/>
              </w:rPr>
              <w:t>7*2,5*2,861/1000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579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189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 дорожный на оцинкованной подоснове со световозвращающей пленкой типа Б, диаметр круга 700 мм,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  <w:br/>
            </w:r>
            <w:r>
              <w:rPr>
                <w:sz w:val="16"/>
                <w:szCs w:val="16"/>
              </w:rPr>
              <w:t>2+1+4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Давальческий материал</w:t>
            </w:r>
          </w:p>
        </w:tc>
      </w:tr>
      <w:tr>
        <w:trPr>
          <w:trHeight w:val="28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Хомут из оцинкованной стали, диаметр 60 мм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Погрузка вручную неуплотненного грунта из штабелей и отвалов в транспортные средства, группа грунтов: 1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0,36</w:t>
              <w:br/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66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192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Перевозка грузов I класса автомобилями-самосвалами грузоподъемностью до 15 т  на расстояние 25 км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0,612</w:t>
              <w:br/>
            </w:r>
            <w:r>
              <w:rPr>
                <w:sz w:val="16"/>
                <w:szCs w:val="16"/>
              </w:rPr>
              <w:t>0,36*1,7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85" w:hRule="atLeast"/>
        </w:trPr>
        <w:tc>
          <w:tcPr>
            <w:tcW w:w="10382" w:type="dxa"/>
            <w:gridSpan w:val="5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Дорожные знаки (Участок 2)</w:t>
            </w:r>
          </w:p>
        </w:tc>
      </w:tr>
      <w:tr>
        <w:trPr>
          <w:trHeight w:val="28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193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 основания под фундаменты: песчаного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0,032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8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194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Песок природный для строительных работ II класс, средний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0,0352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23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 фундаментов-столбов: бетонных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0,07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Смеси бетонные тяжелого бетона (БСТ) на гранитном щебне, класс В15, F(1)100, W4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0,0714</w:t>
              <w:br/>
            </w:r>
            <w:r>
              <w:rPr>
                <w:sz w:val="16"/>
                <w:szCs w:val="16"/>
              </w:rPr>
              <w:t>0,07*1,02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дорожных знаков бесфундаментных: на металлических стойках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  <w:br/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06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Эмаль ХВ-785, цветная, белый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0,00026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8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Грунтовка ХС-010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0,00024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67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Конструкции стальные индивидуального изготовления из сортового проката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0,014305</w:t>
              <w:br/>
            </w:r>
            <w:r>
              <w:rPr>
                <w:sz w:val="16"/>
                <w:szCs w:val="16"/>
              </w:rPr>
              <w:t>2*2,5*2,861/1000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 дорожный на оцинкованной подоснове со световозвращающей пленкой типа Б, 8-угольник, размеры 700 мм, тип 2.5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2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Давальческий материал</w:t>
            </w:r>
          </w:p>
        </w:tc>
      </w:tr>
      <w:tr>
        <w:trPr>
          <w:trHeight w:val="537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 дорожный на оцинкованной подоснове со световозвращающей пленкой типа Б, диаметр круга 700 мм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2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Давальческий материал</w:t>
            </w:r>
          </w:p>
        </w:tc>
      </w:tr>
      <w:tr>
        <w:trPr>
          <w:trHeight w:val="28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Хомут из оцинкованной стали, диаметр 60 мм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Давальческий материал</w:t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Погрузка вручную неуплотненного грунта из штабелей и отвалов в транспортные средства, группа грунтов: 1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  <w:br/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633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Перевозка грузов I класса автомобилями-самосвалами грузоподъемностью до 15 т  на расстояние 25 км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0,17</w:t>
              <w:br/>
            </w:r>
            <w:r>
              <w:rPr>
                <w:sz w:val="16"/>
                <w:szCs w:val="16"/>
              </w:rPr>
              <w:t>0,1*1,7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85" w:hRule="atLeast"/>
        </w:trPr>
        <w:tc>
          <w:tcPr>
            <w:tcW w:w="10382" w:type="dxa"/>
            <w:gridSpan w:val="5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Дорожная разметка (Участок 1)</w:t>
            </w:r>
          </w:p>
        </w:tc>
      </w:tr>
      <w:tr>
        <w:trPr>
          <w:trHeight w:val="67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206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Разметка проезжей части краской линий регулирования дорожного движения сложной конфигурации по трафаретам с использованием маркировочных машин ручных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м2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  <w:br/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67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207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Краска для дорожной разметки автомобильных дорог, суспензия пигментов и наполнителей в акриловом сополимере с модифицирующими добавками, цвет белый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28,8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85" w:hRule="atLeast"/>
        </w:trPr>
        <w:tc>
          <w:tcPr>
            <w:tcW w:w="10382" w:type="dxa"/>
            <w:gridSpan w:val="5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Колесоотбойники, светофоры (Участок 1)</w:t>
            </w:r>
          </w:p>
        </w:tc>
      </w:tr>
      <w:tr>
        <w:trPr>
          <w:trHeight w:val="90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Изготовление колесоотбойников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0,35928</w:t>
              <w:br/>
            </w:r>
            <w:r>
              <w:rPr>
                <w:sz w:val="16"/>
                <w:szCs w:val="16"/>
              </w:rPr>
              <w:t>((1*23,84+2*11,92+2*6,1)/1000) * 6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67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208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Трубы стальные электросварные прямошовные из стали марок Ст2, 10, наружный диаметр 159 мм, толщина стенки 4,5 мм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16,68</w:t>
              <w:br/>
            </w:r>
            <w:r>
              <w:rPr>
                <w:sz w:val="16"/>
                <w:szCs w:val="16"/>
              </w:rPr>
              <w:t>(1,39+2*0,695) * 6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67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209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Отвод 90° с радиусом кривизны R=1,5 Ду на давление до 16 МПа, номинальный диаметр 150 мм, наружный диаметр 159 мм, толщина стенки 4,5 мм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  <w:br/>
            </w:r>
            <w:r>
              <w:rPr>
                <w:sz w:val="16"/>
                <w:szCs w:val="16"/>
              </w:rPr>
              <w:t>2 * 6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Очистка поверхности щетками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м2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8,04</w:t>
              <w:br/>
            </w:r>
            <w:r>
              <w:rPr>
                <w:sz w:val="16"/>
                <w:szCs w:val="16"/>
              </w:rPr>
              <w:t>1,34 * 6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2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211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Обеспыливание поверхности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м2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8,04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51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212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Обезжиривание поверхностей уайт-спиритом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м2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8,04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Огрунтовка металлических поверхностей по подготовленной поверхности мастикой на основе синтетических смол, вручную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м2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8,04</w:t>
              <w:br/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214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Грунт универсальный алкидный (белый)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4,2</w:t>
              <w:br/>
            </w:r>
            <w:r>
              <w:rPr>
                <w:sz w:val="16"/>
                <w:szCs w:val="16"/>
              </w:rPr>
              <w:t>0,7*6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Окраска металлических огрунтованных поверхностей мастикой на основе синтетических смол, вручную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м2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8,04</w:t>
              <w:br/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Эмаль алкидная универсальная RAL 1018  (жёлтый цинк)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2,1</w:t>
              <w:br/>
            </w:r>
            <w:r>
              <w:rPr>
                <w:sz w:val="16"/>
                <w:szCs w:val="16"/>
              </w:rPr>
              <w:t>0,35*6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217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Эмаль алкидная универсальная RAL 9005 (реактивный чёрный)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2,1</w:t>
              <w:br/>
            </w:r>
            <w:r>
              <w:rPr>
                <w:sz w:val="16"/>
                <w:szCs w:val="16"/>
              </w:rPr>
              <w:t>0,35*6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90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218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 удерживающих металлических барьерных ограждений: дорожной группы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0,35928</w:t>
              <w:br/>
            </w:r>
            <w:r>
              <w:rPr>
                <w:sz w:val="16"/>
                <w:szCs w:val="16"/>
              </w:rPr>
              <w:t>((1*23,84+2*11,92+2*6,1)/1000) * 6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219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Песок природный для строительных работ II класс, средний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0,24</w:t>
              <w:br/>
            </w:r>
            <w:r>
              <w:rPr>
                <w:sz w:val="16"/>
                <w:szCs w:val="16"/>
              </w:rPr>
              <w:t>0,04 * 6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Смеси бетонные тяжелого бетона (БСТ) на гранитном щебне, класс В20, F(1)150, W6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1,14</w:t>
              <w:br/>
            </w:r>
            <w:r>
              <w:rPr>
                <w:sz w:val="16"/>
                <w:szCs w:val="16"/>
              </w:rPr>
              <w:t>0,19 * 6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221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Погрузка вручную неуплотненного грунта из штабелей и отвалов в транспортные средства, группа грунтов: 1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1,38</w:t>
              <w:br/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639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222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Перевозка грузов I класса автомобилями-самосвалами грузоподъемностью до 15 т на расстояние 1 км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2,346</w:t>
              <w:br/>
            </w:r>
            <w:r>
              <w:rPr>
                <w:sz w:val="16"/>
                <w:szCs w:val="16"/>
              </w:rPr>
              <w:t>1,38*1,7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85" w:hRule="atLeast"/>
        </w:trPr>
        <w:tc>
          <w:tcPr>
            <w:tcW w:w="10382" w:type="dxa"/>
            <w:gridSpan w:val="5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Светофоры</w:t>
            </w:r>
          </w:p>
        </w:tc>
      </w:tr>
      <w:tr>
        <w:trPr>
          <w:trHeight w:val="39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223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светофорных колонок в комплекте с основанием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8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224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Светофорная колонка транспортная СКТР -5,0-1,5 (02)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2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Давальческий материал</w:t>
            </w:r>
          </w:p>
        </w:tc>
      </w:tr>
      <w:tr>
        <w:trPr>
          <w:trHeight w:val="285" w:hRule="atLeast"/>
        </w:trPr>
        <w:tc>
          <w:tcPr>
            <w:tcW w:w="10382" w:type="dxa"/>
            <w:gridSpan w:val="5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Тропа наряда - 360 м2 (Участок 1)</w:t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грунта в котлованах объемом до 500 м3 экскаваторами с ковшом вместимостью 0,4 (0,35-0,45) м3, группа грунтов: 1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185,24</w:t>
              <w:br/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226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грунта вручную в траншеях глубиной до 2 м без креплений с откосами, группа грунтов: 1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20,47</w:t>
              <w:br/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227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Погрузка вручную неуплотненного грунта из штабелей и отвалов в транспортные средства, группа грунтов: 1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205,71</w:t>
              <w:br/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64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Перевозка грузов I класса автомобилями-самосвалами грузоподъемностью до 15 т  на расстояние 25 км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349,707</w:t>
              <w:br/>
            </w:r>
            <w:r>
              <w:rPr>
                <w:sz w:val="16"/>
                <w:szCs w:val="16"/>
              </w:rPr>
              <w:t>205,71*1,7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229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Уплотнение грунта виброплитами, группа грунтов: 1-2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  <w:br/>
            </w:r>
            <w:r>
              <w:rPr>
                <w:sz w:val="16"/>
                <w:szCs w:val="16"/>
              </w:rPr>
              <w:t>360*0,2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 прослойки из нетканого синтетического материала (НСМ) в земляном полотне: сплошной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м2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</w:t>
              <w:br/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231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Геополотно нетканое для дорожного строительства, иглопробивное, термоскрепленное, поверхностная плотность 300 г/м2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м2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396</w:t>
              <w:br/>
            </w:r>
            <w:r>
              <w:rPr>
                <w:sz w:val="16"/>
                <w:szCs w:val="16"/>
              </w:rPr>
              <w:t>360*1,1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232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 подстилающих и выравнивающих слоев оснований: из песка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97,2</w:t>
              <w:br/>
            </w:r>
            <w:r>
              <w:rPr>
                <w:sz w:val="16"/>
                <w:szCs w:val="16"/>
              </w:rPr>
              <w:t>0,27*360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233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Песок природный для строительных работ II класс, средний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106,92</w:t>
              <w:br/>
            </w:r>
            <w:r>
              <w:rPr>
                <w:sz w:val="16"/>
                <w:szCs w:val="16"/>
              </w:rPr>
              <w:t>97,2*1,1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бортовых камней бетонных: при других видах покрытий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720</w:t>
              <w:br/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235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Смеси бетонные тяжелого бетона (БСТ) на гранитном щебне, класс В10, F(1)100, W4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22,44</w:t>
              <w:br/>
            </w:r>
            <w:r>
              <w:rPr>
                <w:sz w:val="16"/>
                <w:szCs w:val="16"/>
              </w:rPr>
              <w:t>22*1,02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236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Камни бортовые бетонные марки БР, БВ, бетон В22,5 (М300)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115,2</w:t>
              <w:br/>
            </w:r>
            <w:r>
              <w:rPr>
                <w:sz w:val="16"/>
                <w:szCs w:val="16"/>
              </w:rPr>
              <w:t>0,16*720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237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 подстилающих и выравнивающих слоев оснований: из щебня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61,2</w:t>
              <w:br/>
            </w:r>
            <w:r>
              <w:rPr>
                <w:sz w:val="16"/>
                <w:szCs w:val="16"/>
              </w:rPr>
              <w:t>0,17*360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238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Щебень из плотных горных пород для строительных работ М 400, фракция 20-40 мм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77,112</w:t>
              <w:br/>
            </w:r>
            <w:r>
              <w:rPr>
                <w:sz w:val="16"/>
                <w:szCs w:val="16"/>
              </w:rPr>
              <w:t>61,2*1,26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239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 бетонных плитных тротуаров с заполнением швов: песком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м2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</w:t>
              <w:br/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67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Смеси сухие цементно-песчаные кладочные, класс В12,5 (М150), крупность заполнителя до 5 мм, расход 1,8-2,0 кг/м2 при толщине слоя 1 мм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19,44</w:t>
              <w:br/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241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Плиты бетонные и цементно-песчаные для тротуаров, полов и облицовки, толщина 60 мм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м2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85" w:hRule="atLeast"/>
        </w:trPr>
        <w:tc>
          <w:tcPr>
            <w:tcW w:w="10382" w:type="dxa"/>
            <w:gridSpan w:val="5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Тропа наряда - 540 м2 (Участок 2)</w:t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242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грунта в котлованах объемом до 500 м3 экскаваторами с ковшом вместимостью 0,4 (0,35-0,45) м3, группа грунтов: 1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278</w:t>
              <w:br/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243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Разработка грунта вручную в траншеях глубиной до </w:t>
            </w:r>
            <w:bookmarkStart w:id="117" w:name="Приложение_2"/>
            <w:bookmarkEnd w:id="117"/>
            <w:r>
              <w:rPr>
                <w:sz w:val="24"/>
                <w:szCs w:val="24"/>
              </w:rPr>
              <w:t>2 м без креплений с откосами, группа грунтов: 1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  <w:br/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244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Погрузка вручную неуплотненного грунта из штабелей и отвалов в транспортные средства, группа грунтов: 1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309</w:t>
              <w:br/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588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Перевозка грузов I класса автомобилями-самосвалами грузоподъемностью до 15 т  на расстояние 25 км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525,3</w:t>
              <w:br/>
            </w:r>
            <w:r>
              <w:rPr>
                <w:sz w:val="16"/>
                <w:szCs w:val="16"/>
              </w:rPr>
              <w:t>309*1,7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246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Уплотнение грунта виброплитами, группа грунтов: 1-2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143,6</w:t>
              <w:br/>
            </w:r>
            <w:r>
              <w:rPr>
                <w:sz w:val="16"/>
                <w:szCs w:val="16"/>
              </w:rPr>
              <w:t>718*0,2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247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 прослойки из нетканого синтетического материала (НСМ) в земляном полотне: сплошной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м2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540</w:t>
              <w:br/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248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Геополотно нетканое для дорожного строительства, иглопробивное, термоскрепленное, плотность 300 г/м2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м2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594</w:t>
              <w:br/>
            </w:r>
            <w:r>
              <w:rPr>
                <w:sz w:val="16"/>
                <w:szCs w:val="16"/>
              </w:rPr>
              <w:t>540*1,1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249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 подстилающих и выравнивающих слоев оснований: из песка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145,8</w:t>
              <w:br/>
            </w:r>
            <w:r>
              <w:rPr>
                <w:sz w:val="16"/>
                <w:szCs w:val="16"/>
              </w:rPr>
              <w:t>0,27*540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Песок природный для строительных работ II класс, средний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160,6</w:t>
              <w:br/>
            </w:r>
            <w:r>
              <w:rPr>
                <w:sz w:val="16"/>
                <w:szCs w:val="16"/>
              </w:rPr>
              <w:t>146*1,1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251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бортовых камней бетонных: при других видах покрытий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1080</w:t>
              <w:br/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252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Смеси бетонные тяжелого бетона (БСТ) на гранитном щебне, класс В10, F(1)100, W4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32,64</w:t>
              <w:br/>
            </w:r>
            <w:r>
              <w:rPr>
                <w:sz w:val="16"/>
                <w:szCs w:val="16"/>
              </w:rPr>
              <w:t>32*1,02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253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Камни бортовые бетонные марки БР, БВ, бетон В22,5 (М300)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172,8</w:t>
              <w:br/>
            </w:r>
            <w:r>
              <w:rPr>
                <w:sz w:val="16"/>
                <w:szCs w:val="16"/>
              </w:rPr>
              <w:t>0,16*1080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643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 подстилающих и выравнивающих слоев оснований: из щебня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91,8</w:t>
              <w:br/>
            </w:r>
            <w:r>
              <w:rPr>
                <w:sz w:val="16"/>
                <w:szCs w:val="16"/>
              </w:rPr>
              <w:t>0,17*540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255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Щебень из плотных горных пород для строительных работ М 400, фракция 20-40 мм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115,668</w:t>
              <w:br/>
            </w:r>
            <w:r>
              <w:rPr>
                <w:sz w:val="16"/>
                <w:szCs w:val="16"/>
              </w:rPr>
              <w:t>91,8*1,26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 бетонных плитных тротуаров с заполнением швов: песком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м2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540</w:t>
              <w:br/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67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257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Смеси сухие цементно-песчаные кладочные, класс В12,5 (М150), крупность заполнителя до 5 мм, расход 1,8-2,0 кг/м2 при толщине слоя 1 мм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29,16</w:t>
              <w:br/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678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258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Плиты бетонные и цементно-песчаные для тротуаров, полов и облицовки, толщина 60 мм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м2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540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85" w:hRule="atLeast"/>
        </w:trPr>
        <w:tc>
          <w:tcPr>
            <w:tcW w:w="10382" w:type="dxa"/>
            <w:gridSpan w:val="5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Устройство буронабивных свай БНС1 под фунд. плиту ФПм2 наблюдательной вышки</w:t>
            </w:r>
          </w:p>
        </w:tc>
      </w:tr>
      <w:tr>
        <w:trPr>
          <w:trHeight w:val="90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278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Изготовление арматурных пространственных каркасов в построечных условиях, диаметром: 16 мм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0,12956</w:t>
              <w:br/>
            </w:r>
            <w:r>
              <w:rPr>
                <w:sz w:val="16"/>
                <w:szCs w:val="16"/>
              </w:rPr>
              <w:t>((26.5+4.32+0.64+0,93)/1000) * 4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279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Прокат арматурный для железобетонных конструкций, класс A500C, диаметр 16 мм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0,106</w:t>
              <w:br/>
            </w:r>
            <w:r>
              <w:rPr>
                <w:sz w:val="16"/>
                <w:szCs w:val="16"/>
              </w:rPr>
              <w:t>(26.5/1000) * 4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Прокат арматурный для железобетонных конструкций, класс A500C, диаметр 6 мм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0,01728</w:t>
              <w:br/>
            </w:r>
            <w:r>
              <w:rPr>
                <w:sz w:val="16"/>
                <w:szCs w:val="16"/>
              </w:rPr>
              <w:t>(4.32/1000) * 4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281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Сталь арматурная горячекатаная гладкая, класс A-I, диаметр 6-22 мм (6-А240)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0,00256</w:t>
              <w:br/>
            </w:r>
            <w:r>
              <w:rPr>
                <w:sz w:val="16"/>
                <w:szCs w:val="16"/>
              </w:rPr>
              <w:t>(0.64/1000) * 4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282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Прокат стальной горячекатаный полосовой, марки стали Ст3сп, Ст3пс, размеры 140х6 мм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0,00372</w:t>
              <w:br/>
            </w:r>
            <w:r>
              <w:rPr>
                <w:sz w:val="16"/>
                <w:szCs w:val="16"/>
              </w:rPr>
              <w:t>(0,93/1000) * 4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67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283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 железобетонных буронабивных свай с бурением скважин вращательным (шнековым) способом в грунтах: 1 группы диаметром до 600 мм, длина свай до 12 м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1,8</w:t>
              <w:br/>
            </w:r>
            <w:r>
              <w:rPr>
                <w:sz w:val="16"/>
                <w:szCs w:val="16"/>
              </w:rPr>
              <w:t>0,45 * 4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284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Смеси бетонные тяжелого бетона (БСТ) на гранитном щебне, класс В20, F(1)150, W6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1,8</w:t>
              <w:br/>
            </w:r>
            <w:r>
              <w:rPr>
                <w:sz w:val="16"/>
                <w:szCs w:val="16"/>
              </w:rPr>
              <w:t>0,45 * 4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67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285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Долото трехшарошечное III 132 К-ЦВ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0,0405</w:t>
              <w:br/>
            </w:r>
            <w:r>
              <w:rPr>
                <w:sz w:val="16"/>
                <w:szCs w:val="16"/>
              </w:rPr>
              <w:t>(0,25*4,05/100) * 4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8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286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Щиты настила, толщина 40 мм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м2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0,504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287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Порошок (глинопорошок) бентонитовый для приготовления буровых растворов, выход раствора 20,0-23,0 м3/т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0,1134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289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Погрузка вручную неуплотненного грунта из штабелей и отвалов в транспортные средства, группа грунтов: 1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1,8</w:t>
              <w:br/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675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290</w:t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Перевозка грузов I класса автомобилями-самосвалами грузоподъемностью до 15 т  на расстояние 25 км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3,06</w:t>
              <w:br/>
            </w:r>
            <w:r>
              <w:rPr>
                <w:sz w:val="16"/>
                <w:szCs w:val="16"/>
              </w:rPr>
              <w:t>1.8*1,7</w:t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489" w:hRule="atLeast"/>
        </w:trPr>
        <w:tc>
          <w:tcPr>
            <w:tcW w:w="71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6288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i/>
                <w:sz w:val="16"/>
                <w:szCs w:val="16"/>
              </w:rPr>
              <w:t>Условия выполнения работ: 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1) Производство работ осуществляется в охранной зоне действующей воздушной линии электропередачи, вблизи объектов, находящихся под напряжением, внутри объектов капитального строительства, внутренняя проводка в которых не обесточена, если это приведет к ограничению действий рабочих в соответствии с требованиями техники безопасности.</w:t>
              <w:br/>
              <w:t>2) Производство работ осуществляется на территории действующего предприятия с наличием в зоне производства работ одного или нескольких из перечисленных ниже факторов:</w:t>
              <w:br/>
              <w:t>разветвленная сеть транспортных и инженерных коммуникаций;</w:t>
              <w:br/>
              <w:t>стесненные условия для складирования материалов;</w:t>
              <w:br/>
              <w:t>действующее технологическое оборудование;</w:t>
              <w:br/>
              <w:t>движение технологического транспорта.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7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22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sectPr>
          <w:headerReference w:type="default" r:id="rId7"/>
          <w:headerReference w:type="first" r:id="rId8"/>
          <w:type w:val="nextPage"/>
          <w:pgSz w:w="11906" w:h="16838"/>
          <w:pgMar w:left="1134" w:right="851" w:gutter="0" w:header="680" w:top="1134" w:footer="0" w:bottom="992"/>
          <w:pgNumType w:fmt="decimal"/>
          <w:formProt w:val="false"/>
          <w:titlePg/>
          <w:textDirection w:val="lrTb"/>
          <w:docGrid w:type="default" w:linePitch="381" w:charSpace="0"/>
        </w:sectPr>
      </w:pPr>
      <w:r>
        <w:br w:type="page"/>
      </w:r>
    </w:p>
    <w:p>
      <w:pPr>
        <w:pStyle w:val="Normal"/>
        <w:jc w:val="right"/>
        <w:rPr>
          <w:rFonts w:eastAsia="Calibri"/>
          <w:b/>
          <w:sz w:val="36"/>
          <w:szCs w:val="36"/>
        </w:rPr>
      </w:pPr>
      <w:bookmarkStart w:id="118" w:name="Приложение_№2"/>
      <w:r>
        <w:rPr/>
        <w:t>Приложение №2</w:t>
      </w:r>
      <w:bookmarkEnd w:id="118"/>
    </w:p>
    <w:p>
      <w:pPr>
        <w:pStyle w:val="Heading1"/>
        <w:tabs>
          <w:tab w:val="clear" w:pos="0"/>
        </w:tabs>
        <w:ind w:left="0" w:hanging="0"/>
        <w:jc w:val="center"/>
        <w:rPr>
          <w:sz w:val="36"/>
          <w:szCs w:val="36"/>
        </w:rPr>
      </w:pPr>
      <w:bookmarkStart w:id="119" w:name="__RefHeading___Toc47697_2939175109"/>
      <w:bookmarkStart w:id="120" w:name="_Toc54451385"/>
      <w:bookmarkStart w:id="121" w:name="_Toc125123786"/>
      <w:bookmarkStart w:id="122" w:name="_Hlk125115837"/>
      <w:bookmarkEnd w:id="119"/>
      <w:r>
        <w:rPr/>
        <w:t>Требования к оформлению и составлению документации по ценообразованию</w:t>
      </w:r>
      <w:bookmarkEnd w:id="120"/>
      <w:bookmarkEnd w:id="121"/>
      <w:bookmarkEnd w:id="122"/>
    </w:p>
    <w:p>
      <w:pPr>
        <w:pStyle w:val="Normal"/>
        <w:keepNext w:val="true"/>
        <w:keepLines/>
        <w:spacing w:before="0" w:after="12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lear" w:pos="708"/>
          <w:tab w:val="left" w:pos="1260" w:leader="none"/>
        </w:tabs>
        <w:spacing w:lineRule="auto" w:line="240" w:before="0" w:after="0"/>
        <w:ind w:left="1260" w:right="0" w:hanging="1080"/>
        <w:jc w:val="center"/>
        <w:rPr>
          <w:rFonts w:ascii="Times New Roman" w:hAnsi="Times New Roman" w:cs="Times New Roman"/>
          <w:b/>
        </w:rPr>
      </w:pPr>
      <w:r>
        <w:rPr>
          <w:rFonts w:cs="Times New Roman"/>
          <w:b/>
        </w:rPr>
        <w:t>Требования к оформлению и составлению</w:t>
      </w:r>
    </w:p>
    <w:p>
      <w:pPr>
        <w:pStyle w:val="Normal"/>
        <w:tabs>
          <w:tab w:val="clear" w:pos="708"/>
          <w:tab w:val="left" w:pos="284" w:leader="none"/>
          <w:tab w:val="left" w:pos="993" w:leader="none"/>
          <w:tab w:val="left" w:pos="1134" w:leader="none"/>
        </w:tabs>
        <w:spacing w:lineRule="auto" w:line="240" w:before="0" w:after="0"/>
        <w:ind w:left="0" w:right="0" w:firstLine="709"/>
        <w:jc w:val="center"/>
        <w:rPr/>
      </w:pPr>
      <w:r>
        <w:rPr>
          <w:rFonts w:cs="Times New Roman"/>
          <w:b/>
        </w:rPr>
        <w:t xml:space="preserve"> </w:t>
      </w:r>
      <w:r>
        <w:rPr>
          <w:rFonts w:cs="Times New Roman"/>
          <w:b/>
        </w:rPr>
        <w:t>сметной документации на работы по программе реконструкции и техническому перевооружению.</w:t>
      </w:r>
    </w:p>
    <w:p>
      <w:pPr>
        <w:pStyle w:val="Normal"/>
        <w:tabs>
          <w:tab w:val="clear" w:pos="708"/>
          <w:tab w:val="left" w:pos="284" w:leader="none"/>
          <w:tab w:val="left" w:pos="993" w:leader="none"/>
          <w:tab w:val="left" w:pos="1134" w:leader="none"/>
        </w:tabs>
        <w:spacing w:lineRule="auto" w:line="240" w:before="0" w:after="0"/>
        <w:ind w:left="0" w:right="0" w:firstLine="709"/>
        <w:jc w:val="center"/>
        <w:rPr>
          <w:rFonts w:ascii="Times New Roman" w:hAnsi="Times New Roman" w:cs="Times New Roman"/>
          <w:b/>
        </w:rPr>
      </w:pPr>
      <w:r>
        <w:rPr>
          <w:rFonts w:cs="Times New Roman"/>
          <w:b/>
        </w:rPr>
      </w:r>
    </w:p>
    <w:p>
      <w:pPr>
        <w:pStyle w:val="Normal"/>
        <w:numPr>
          <w:ilvl w:val="0"/>
          <w:numId w:val="14"/>
        </w:numPr>
        <w:tabs>
          <w:tab w:val="clear" w:pos="708"/>
          <w:tab w:val="left" w:pos="284" w:leader="none"/>
          <w:tab w:val="left" w:pos="705" w:leader="none"/>
          <w:tab w:val="left" w:pos="993" w:leader="none"/>
          <w:tab w:val="left" w:pos="1272" w:leader="none"/>
        </w:tabs>
        <w:spacing w:lineRule="auto" w:line="240" w:before="0" w:after="0"/>
        <w:ind w:left="705" w:right="0" w:hanging="279"/>
        <w:contextualSpacing/>
        <w:jc w:val="both"/>
        <w:rPr>
          <w:rFonts w:ascii="Times New Roman" w:hAnsi="Times New Roman" w:cs="Times New Roman"/>
        </w:rPr>
      </w:pPr>
      <w:r>
        <w:rPr>
          <w:rFonts w:cs="Times New Roman"/>
        </w:rPr>
        <w:t>Настоящие требования разработаны для единого подхода к оформлению и составлению сметной документации на работы по ремонтам, реконструкции и техническому перевооружению.</w:t>
      </w:r>
    </w:p>
    <w:p>
      <w:pPr>
        <w:pStyle w:val="Normal"/>
        <w:numPr>
          <w:ilvl w:val="0"/>
          <w:numId w:val="14"/>
        </w:numPr>
        <w:tabs>
          <w:tab w:val="clear" w:pos="708"/>
          <w:tab w:val="left" w:pos="284" w:leader="none"/>
          <w:tab w:val="left" w:pos="705" w:leader="none"/>
          <w:tab w:val="left" w:pos="993" w:leader="none"/>
          <w:tab w:val="left" w:pos="1272" w:leader="none"/>
        </w:tabs>
        <w:spacing w:lineRule="auto" w:line="240" w:before="0" w:after="0"/>
        <w:ind w:left="705" w:right="0" w:hanging="279"/>
        <w:contextualSpacing/>
        <w:jc w:val="both"/>
        <w:rPr>
          <w:rFonts w:ascii="Times New Roman" w:hAnsi="Times New Roman" w:cs="Times New Roman"/>
        </w:rPr>
      </w:pPr>
      <w:r>
        <w:rPr>
          <w:rFonts w:cs="Times New Roman"/>
        </w:rPr>
        <w:t xml:space="preserve">Использование нормативов ценообразования, не зарегистрированных и не вошедших в ФРСН, </w:t>
      </w:r>
      <w:r>
        <w:rPr>
          <w:rFonts w:cs="Times New Roman"/>
          <w:b/>
          <w:u w:val="single"/>
        </w:rPr>
        <w:t>не допускается</w:t>
      </w:r>
      <w:r>
        <w:rPr>
          <w:rFonts w:cs="Times New Roman"/>
        </w:rPr>
        <w:t>, кроме случаев, прямо указанных в настоящих требованиях.</w:t>
      </w:r>
    </w:p>
    <w:p>
      <w:pPr>
        <w:pStyle w:val="Normal"/>
        <w:numPr>
          <w:ilvl w:val="0"/>
          <w:numId w:val="14"/>
        </w:numPr>
        <w:tabs>
          <w:tab w:val="clear" w:pos="708"/>
          <w:tab w:val="left" w:pos="284" w:leader="none"/>
          <w:tab w:val="left" w:pos="705" w:leader="none"/>
          <w:tab w:val="left" w:pos="993" w:leader="none"/>
          <w:tab w:val="left" w:pos="1272" w:leader="none"/>
        </w:tabs>
        <w:spacing w:lineRule="auto" w:line="240" w:before="0" w:after="0"/>
        <w:ind w:left="705" w:right="0" w:hanging="279"/>
        <w:contextualSpacing/>
        <w:jc w:val="both"/>
        <w:rPr>
          <w:rFonts w:ascii="Times New Roman" w:hAnsi="Times New Roman" w:cs="Times New Roman"/>
        </w:rPr>
      </w:pPr>
      <w:r>
        <w:rPr>
          <w:rFonts w:cs="Times New Roman"/>
        </w:rPr>
        <w:t>Версия программного комплекса «Гранд-Смета» (далее–ПК «Гранд-смета») должна быть не ниже 2024.</w:t>
      </w:r>
    </w:p>
    <w:p>
      <w:pPr>
        <w:pStyle w:val="Normal"/>
        <w:numPr>
          <w:ilvl w:val="0"/>
          <w:numId w:val="14"/>
        </w:numPr>
        <w:tabs>
          <w:tab w:val="clear" w:pos="708"/>
          <w:tab w:val="left" w:pos="284" w:leader="none"/>
          <w:tab w:val="left" w:pos="705" w:leader="none"/>
          <w:tab w:val="left" w:pos="993" w:leader="none"/>
          <w:tab w:val="left" w:pos="1272" w:leader="none"/>
        </w:tabs>
        <w:spacing w:lineRule="auto" w:line="240" w:before="0" w:after="0"/>
        <w:ind w:left="705" w:right="0" w:hanging="279"/>
        <w:contextualSpacing/>
        <w:jc w:val="both"/>
        <w:rPr>
          <w:rFonts w:ascii="Times New Roman" w:hAnsi="Times New Roman" w:cs="Times New Roman"/>
        </w:rPr>
      </w:pPr>
      <w:r>
        <w:rPr>
          <w:rFonts w:cs="Times New Roman"/>
        </w:rPr>
        <w:t xml:space="preserve">При составлении смет руководствоваться «Методикой определения сметной стоимости строительства»,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введенной в действие Приказом Министерства строительства и ЖКХ РФ от 04.08.2020 № 421/пр., в редакции приказов Минстроя России от 07.07.2022 года № 557/пр, от 30.01.2024 года № 55/пр (далее – Методика 421). </w:t>
      </w:r>
    </w:p>
    <w:p>
      <w:pPr>
        <w:pStyle w:val="Normal"/>
        <w:numPr>
          <w:ilvl w:val="0"/>
          <w:numId w:val="14"/>
        </w:numPr>
        <w:tabs>
          <w:tab w:val="clear" w:pos="708"/>
          <w:tab w:val="left" w:pos="284" w:leader="none"/>
          <w:tab w:val="left" w:pos="705" w:leader="none"/>
          <w:tab w:val="left" w:pos="993" w:leader="none"/>
          <w:tab w:val="left" w:pos="1272" w:leader="none"/>
        </w:tabs>
        <w:spacing w:lineRule="auto" w:line="240" w:before="0" w:after="0"/>
        <w:ind w:left="705" w:right="0" w:hanging="279"/>
        <w:contextualSpacing/>
        <w:jc w:val="both"/>
        <w:rPr>
          <w:rFonts w:ascii="Times New Roman" w:hAnsi="Times New Roman" w:cs="Times New Roman"/>
        </w:rPr>
      </w:pPr>
      <w:r>
        <w:rPr>
          <w:rFonts w:cs="Times New Roman"/>
        </w:rPr>
        <w:t xml:space="preserve">При составлении сметной документации необходимо использовать актуальную сметно-нормативную базу. </w:t>
      </w:r>
    </w:p>
    <w:p>
      <w:pPr>
        <w:pStyle w:val="Normal"/>
        <w:numPr>
          <w:ilvl w:val="0"/>
          <w:numId w:val="14"/>
        </w:numPr>
        <w:tabs>
          <w:tab w:val="clear" w:pos="708"/>
          <w:tab w:val="left" w:pos="284" w:leader="none"/>
          <w:tab w:val="left" w:pos="709" w:leader="none"/>
          <w:tab w:val="left" w:pos="993" w:leader="none"/>
          <w:tab w:val="left" w:pos="1272" w:leader="none"/>
        </w:tabs>
        <w:spacing w:lineRule="auto" w:line="240" w:before="0" w:after="0"/>
        <w:ind w:left="705" w:right="0" w:hanging="279"/>
        <w:contextualSpacing/>
        <w:jc w:val="both"/>
        <w:rPr>
          <w:rFonts w:ascii="Times New Roman" w:hAnsi="Times New Roman" w:cs="Times New Roman"/>
        </w:rPr>
      </w:pPr>
      <w:r>
        <w:rPr>
          <w:rFonts w:cs="Times New Roman"/>
        </w:rPr>
        <w:t>Определение сметной стоимости работ выполняется</w:t>
      </w:r>
      <w:r>
        <w:rPr>
          <w:rFonts w:cs="Times New Roman"/>
          <w:b/>
        </w:rPr>
        <w:t xml:space="preserve"> ресурсно-индексным методом </w:t>
      </w:r>
      <w:r>
        <w:rPr>
          <w:rFonts w:cs="Times New Roman"/>
        </w:rPr>
        <w:t xml:space="preserve">- с использованием сметных норм, сметных цен строительных ресурсов в базисном уровне цен и одновременным применением информации о сметных ценах, размещенной в ФГИС ЦС, а также индексов изменения сметной стоимости к составляющим единичных расценок в базисном уровне цен. Сметная стоимость, определенная с применением ресурсно-индексного метода, приводится в ЛСР (ЛС) в </w:t>
      </w:r>
      <w:r>
        <w:rPr>
          <w:rFonts w:cs="Times New Roman"/>
          <w:b/>
        </w:rPr>
        <w:t>текущем уровне цен</w:t>
      </w:r>
      <w:r>
        <w:rPr>
          <w:rFonts w:cs="Times New Roman"/>
        </w:rPr>
        <w:t xml:space="preserve">. </w:t>
      </w:r>
    </w:p>
    <w:p>
      <w:pPr>
        <w:pStyle w:val="Normal"/>
        <w:numPr>
          <w:ilvl w:val="0"/>
          <w:numId w:val="14"/>
        </w:numPr>
        <w:tabs>
          <w:tab w:val="clear" w:pos="708"/>
          <w:tab w:val="left" w:pos="284" w:leader="none"/>
          <w:tab w:val="left" w:pos="705" w:leader="none"/>
          <w:tab w:val="left" w:pos="993" w:leader="none"/>
          <w:tab w:val="left" w:pos="1272" w:leader="none"/>
        </w:tabs>
        <w:spacing w:lineRule="auto" w:line="240" w:before="0" w:after="0"/>
        <w:ind w:left="705" w:right="0" w:hanging="279"/>
        <w:contextualSpacing/>
        <w:jc w:val="both"/>
        <w:rPr>
          <w:rFonts w:ascii="Times New Roman" w:hAnsi="Times New Roman" w:cs="Times New Roman"/>
        </w:rPr>
      </w:pPr>
      <w:r>
        <w:rPr>
          <w:rFonts w:cs="Times New Roman"/>
        </w:rPr>
        <w:t xml:space="preserve">При определении сметной стоимости ресурсно-индексным методами применяются индексы изменения сметной стоимости на текущий период (при наличии) для соответствующих видов объектов капитального строительства и субъектов Российской Федерации (частей территорий субъектов Российской Федерации), либо индексы, сведения о которых последними включены в ФРСН. </w:t>
      </w:r>
    </w:p>
    <w:p>
      <w:pPr>
        <w:pStyle w:val="Normal"/>
        <w:numPr>
          <w:ilvl w:val="0"/>
          <w:numId w:val="14"/>
        </w:numPr>
        <w:tabs>
          <w:tab w:val="clear" w:pos="708"/>
          <w:tab w:val="left" w:pos="284" w:leader="none"/>
          <w:tab w:val="left" w:pos="705" w:leader="none"/>
          <w:tab w:val="left" w:pos="993" w:leader="none"/>
          <w:tab w:val="left" w:pos="1272" w:leader="none"/>
        </w:tabs>
        <w:spacing w:lineRule="auto" w:line="240" w:before="0" w:after="0"/>
        <w:ind w:left="705" w:right="0" w:hanging="279"/>
        <w:contextualSpacing/>
        <w:jc w:val="both"/>
        <w:rPr>
          <w:rFonts w:ascii="Times New Roman" w:hAnsi="Times New Roman" w:cs="Times New Roman"/>
        </w:rPr>
      </w:pPr>
      <w:r>
        <w:rPr>
          <w:rFonts w:cs="Times New Roman"/>
        </w:rPr>
        <w:t>Для ресурсно-индексного метода:</w:t>
      </w:r>
    </w:p>
    <w:p>
      <w:pPr>
        <w:pStyle w:val="Normal"/>
        <w:numPr>
          <w:ilvl w:val="0"/>
          <w:numId w:val="15"/>
        </w:numPr>
        <w:tabs>
          <w:tab w:val="clear" w:pos="708"/>
          <w:tab w:val="left" w:pos="284" w:leader="none"/>
          <w:tab w:val="left" w:pos="993" w:leader="none"/>
        </w:tabs>
        <w:spacing w:lineRule="auto" w:line="240" w:before="0" w:after="0"/>
        <w:contextualSpacing/>
        <w:jc w:val="both"/>
        <w:rPr>
          <w:rFonts w:ascii="Times New Roman" w:hAnsi="Times New Roman" w:cs="Times New Roman"/>
        </w:rPr>
      </w:pPr>
      <w:r>
        <w:rPr>
          <w:rFonts w:cs="Times New Roman"/>
        </w:rPr>
        <w:t>индексы к отдельным строительным ресурсам, индексы к группам строительных ресурсов (индексы к сметной стоимости отдельных материалов, изделий, конструкций, оборудования, эксплуатации машин и механизмов или к стоимости однородных групп таких строительных ресурсов);</w:t>
      </w:r>
    </w:p>
    <w:p>
      <w:pPr>
        <w:pStyle w:val="Normal"/>
        <w:numPr>
          <w:ilvl w:val="0"/>
          <w:numId w:val="15"/>
        </w:numPr>
        <w:tabs>
          <w:tab w:val="clear" w:pos="708"/>
          <w:tab w:val="left" w:pos="284" w:leader="none"/>
          <w:tab w:val="left" w:pos="993" w:leader="none"/>
        </w:tabs>
        <w:spacing w:lineRule="auto" w:line="240" w:before="0" w:after="0"/>
        <w:contextualSpacing/>
        <w:jc w:val="both"/>
        <w:rPr>
          <w:rFonts w:ascii="Times New Roman" w:hAnsi="Times New Roman" w:cs="Times New Roman"/>
        </w:rPr>
      </w:pPr>
      <w:r>
        <w:rPr>
          <w:rFonts w:cs="Times New Roman"/>
        </w:rPr>
        <w:t>индексы изменения сметных цен на перевозку грузов – применяются к сметной стоимости затрат на перевозку грузов для строительства автомобильным транспортом, в том числе на дополнительное расстояние, сверх учтенного сметными ценами на материальные ресурсы и оборудование, в соответствии с типом автотранспортных средств;</w:t>
      </w:r>
    </w:p>
    <w:p>
      <w:pPr>
        <w:pStyle w:val="Normal"/>
        <w:numPr>
          <w:ilvl w:val="0"/>
          <w:numId w:val="15"/>
        </w:numPr>
        <w:tabs>
          <w:tab w:val="clear" w:pos="708"/>
          <w:tab w:val="left" w:pos="284" w:leader="none"/>
          <w:tab w:val="left" w:pos="993" w:leader="none"/>
        </w:tabs>
        <w:spacing w:lineRule="auto" w:line="240" w:before="0" w:after="0"/>
        <w:contextualSpacing/>
        <w:jc w:val="both"/>
        <w:rPr>
          <w:rFonts w:ascii="Times New Roman" w:hAnsi="Times New Roman" w:cs="Times New Roman"/>
        </w:rPr>
      </w:pPr>
      <w:r>
        <w:rPr>
          <w:rFonts w:cs="Times New Roman"/>
        </w:rPr>
        <w:t>индексы изменения сметной стоимости оборудования – применяются к сметной стоимости оборудования;</w:t>
      </w:r>
    </w:p>
    <w:p>
      <w:pPr>
        <w:pStyle w:val="Normal"/>
        <w:numPr>
          <w:ilvl w:val="0"/>
          <w:numId w:val="15"/>
        </w:numPr>
        <w:tabs>
          <w:tab w:val="clear" w:pos="708"/>
          <w:tab w:val="left" w:pos="284" w:leader="none"/>
          <w:tab w:val="left" w:pos="993" w:leader="none"/>
        </w:tabs>
        <w:spacing w:lineRule="auto" w:line="240" w:before="0" w:after="0"/>
        <w:contextualSpacing/>
        <w:jc w:val="both"/>
        <w:rPr>
          <w:rFonts w:ascii="Times New Roman" w:hAnsi="Times New Roman" w:cs="Times New Roman"/>
        </w:rPr>
      </w:pPr>
      <w:r>
        <w:rPr>
          <w:rFonts w:cs="Times New Roman"/>
        </w:rPr>
        <w:t>индексы изменения сметной стоимости, рассчитываемые для применения к сметной стоимости отдельных видов прочих работ и затрат.</w:t>
      </w:r>
    </w:p>
    <w:p>
      <w:pPr>
        <w:pStyle w:val="Normal"/>
        <w:numPr>
          <w:ilvl w:val="0"/>
          <w:numId w:val="14"/>
        </w:numPr>
        <w:tabs>
          <w:tab w:val="clear" w:pos="708"/>
          <w:tab w:val="left" w:pos="284" w:leader="none"/>
          <w:tab w:val="left" w:pos="705" w:leader="none"/>
          <w:tab w:val="left" w:pos="993" w:leader="none"/>
          <w:tab w:val="left" w:pos="1272" w:leader="none"/>
        </w:tabs>
        <w:spacing w:lineRule="auto" w:line="240" w:before="0" w:after="0"/>
        <w:ind w:left="705" w:right="0" w:hanging="279"/>
        <w:contextualSpacing/>
        <w:jc w:val="both"/>
        <w:rPr>
          <w:rFonts w:ascii="Times New Roman" w:hAnsi="Times New Roman" w:cs="Times New Roman"/>
        </w:rPr>
      </w:pPr>
      <w:r>
        <w:rPr>
          <w:rFonts w:cs="Times New Roman"/>
        </w:rPr>
        <w:t xml:space="preserve">В сметных расчетах на этап работ допускается использовать индексы прогнозной инфляции Минэкономразвития России (ИПЦ базовый, по строке - Показатели инфляции / в среднем за год). </w:t>
      </w:r>
    </w:p>
    <w:p>
      <w:pPr>
        <w:pStyle w:val="Normal"/>
        <w:numPr>
          <w:ilvl w:val="0"/>
          <w:numId w:val="14"/>
        </w:numPr>
        <w:tabs>
          <w:tab w:val="clear" w:pos="708"/>
          <w:tab w:val="left" w:pos="284" w:leader="none"/>
          <w:tab w:val="left" w:pos="705" w:leader="none"/>
          <w:tab w:val="left" w:pos="993" w:leader="none"/>
          <w:tab w:val="left" w:pos="1272" w:leader="none"/>
        </w:tabs>
        <w:spacing w:lineRule="auto" w:line="240" w:before="0" w:after="0"/>
        <w:ind w:left="705" w:right="0" w:hanging="279"/>
        <w:contextualSpacing/>
        <w:jc w:val="both"/>
        <w:rPr>
          <w:rFonts w:ascii="Times New Roman" w:hAnsi="Times New Roman" w:cs="Times New Roman"/>
        </w:rPr>
      </w:pPr>
      <w:r>
        <w:rPr>
          <w:rFonts w:cs="Times New Roman"/>
        </w:rPr>
        <w:t xml:space="preserve"> </w:t>
      </w:r>
      <w:r>
        <w:rPr>
          <w:rFonts w:cs="Times New Roman"/>
        </w:rPr>
        <w:t xml:space="preserve">В случае </w:t>
      </w:r>
      <w:r>
        <w:rPr>
          <w:rFonts w:cs="Times New Roman"/>
          <w:i/>
        </w:rPr>
        <w:t>отсутствия</w:t>
      </w:r>
      <w:r>
        <w:rPr>
          <w:rFonts w:cs="Times New Roman"/>
        </w:rPr>
        <w:t xml:space="preserve"> единичных расценок в действующей СНБ возможно определение сметной стоимости с применением сборников: «Единых норм и расценок на строительные, монтажные и ремонтно-строительные работы» (далее – ЕНиР) и «Ведомственных норм и расценок на строительные, монтажные и ремонтно-строительные работы» (далее – ВНиР). Уровень оплаты труда  для ЕНиР и ВНиР определять аналогично примененному в сметной документации методу расчета в соответствии с тарифными ставками сборника «Показатели часовой оплаты труда» (далее - ТС 2001), внесенного в ФРСН.</w:t>
      </w:r>
    </w:p>
    <w:p>
      <w:pPr>
        <w:pStyle w:val="Normal"/>
        <w:numPr>
          <w:ilvl w:val="0"/>
          <w:numId w:val="14"/>
        </w:numPr>
        <w:tabs>
          <w:tab w:val="clear" w:pos="708"/>
          <w:tab w:val="left" w:pos="284" w:leader="none"/>
          <w:tab w:val="left" w:pos="705" w:leader="none"/>
          <w:tab w:val="left" w:pos="993" w:leader="none"/>
          <w:tab w:val="left" w:pos="1272" w:leader="none"/>
        </w:tabs>
        <w:spacing w:lineRule="auto" w:line="240" w:before="0" w:after="0"/>
        <w:ind w:left="705" w:right="0" w:hanging="279"/>
        <w:contextualSpacing/>
        <w:jc w:val="both"/>
        <w:rPr>
          <w:rFonts w:ascii="Times New Roman" w:hAnsi="Times New Roman" w:cs="Times New Roman"/>
        </w:rPr>
      </w:pPr>
      <w:bookmarkStart w:id="123" w:name="_Hlk86254526"/>
      <w:r>
        <w:rPr>
          <w:rFonts w:cs="Times New Roman"/>
        </w:rPr>
        <w:t xml:space="preserve">При </w:t>
      </w:r>
      <w:r>
        <w:rPr>
          <w:rFonts w:cs="Times New Roman"/>
          <w:i/>
        </w:rPr>
        <w:t>отсутствии</w:t>
      </w:r>
      <w:r>
        <w:rPr>
          <w:rFonts w:cs="Times New Roman"/>
        </w:rPr>
        <w:t xml:space="preserve"> информации о сметных ценах в ФГИС ЦС и ФССЦ по материальным ресурсам и оборудованию, их сметная цена формируется </w:t>
      </w:r>
      <w:bookmarkStart w:id="124" w:name="_Hlk86254576"/>
      <w:r>
        <w:rPr>
          <w:rFonts w:cs="Times New Roman"/>
        </w:rPr>
        <w:t xml:space="preserve">методом коньюнктурного анализа </w:t>
      </w:r>
      <w:bookmarkEnd w:id="124"/>
      <w:r>
        <w:rPr>
          <w:rFonts w:cs="Times New Roman"/>
        </w:rPr>
        <w:t xml:space="preserve">в соответствии с Методикой 421. </w:t>
      </w:r>
      <w:bookmarkEnd w:id="123"/>
    </w:p>
    <w:p>
      <w:pPr>
        <w:pStyle w:val="Normal"/>
        <w:numPr>
          <w:ilvl w:val="0"/>
          <w:numId w:val="14"/>
        </w:numPr>
        <w:tabs>
          <w:tab w:val="clear" w:pos="708"/>
          <w:tab w:val="left" w:pos="284" w:leader="none"/>
          <w:tab w:val="left" w:pos="705" w:leader="none"/>
          <w:tab w:val="left" w:pos="993" w:leader="none"/>
          <w:tab w:val="left" w:pos="1272" w:leader="none"/>
        </w:tabs>
        <w:spacing w:lineRule="auto" w:line="240" w:before="0" w:after="0"/>
        <w:ind w:left="705" w:right="0" w:hanging="279"/>
        <w:contextualSpacing/>
        <w:jc w:val="both"/>
        <w:rPr>
          <w:rFonts w:ascii="Times New Roman" w:hAnsi="Times New Roman" w:cs="Times New Roman"/>
        </w:rPr>
      </w:pPr>
      <w:r>
        <w:rPr>
          <w:rFonts w:cs="Times New Roman"/>
        </w:rPr>
        <w:t>Сметная стоимость материальных ресурсов и индивидуального стандартизированного (адаптированного) оборудования в текущем уровне цен, информация о которых отсутствует во ФГИС ЦС и ФРСН, определяется с учетом транспортных и заготовительно-складских затрат.</w:t>
      </w:r>
    </w:p>
    <w:p>
      <w:pPr>
        <w:pStyle w:val="Normal"/>
        <w:numPr>
          <w:ilvl w:val="0"/>
          <w:numId w:val="14"/>
        </w:numPr>
        <w:tabs>
          <w:tab w:val="clear" w:pos="708"/>
          <w:tab w:val="left" w:pos="284" w:leader="none"/>
          <w:tab w:val="left" w:pos="705" w:leader="none"/>
          <w:tab w:val="left" w:pos="993" w:leader="none"/>
          <w:tab w:val="left" w:pos="1272" w:leader="none"/>
        </w:tabs>
        <w:spacing w:lineRule="auto" w:line="240" w:before="0" w:after="0"/>
        <w:ind w:left="705" w:right="0" w:hanging="279"/>
        <w:contextualSpacing/>
        <w:jc w:val="both"/>
        <w:rPr>
          <w:rFonts w:ascii="Times New Roman" w:hAnsi="Times New Roman" w:cs="Times New Roman"/>
        </w:rPr>
      </w:pPr>
      <w:r>
        <w:rPr>
          <w:rFonts w:cs="Times New Roman"/>
        </w:rPr>
        <w:t>Транспортные затраты определяются следующими методами:</w:t>
      </w:r>
    </w:p>
    <w:p>
      <w:pPr>
        <w:pStyle w:val="Normal"/>
        <w:numPr>
          <w:ilvl w:val="0"/>
        </w:numPr>
        <w:tabs>
          <w:tab w:val="clear" w:pos="708"/>
          <w:tab w:val="left" w:pos="1134" w:leader="none"/>
        </w:tabs>
        <w:spacing w:lineRule="auto" w:line="240" w:before="40" w:after="40"/>
        <w:ind w:left="0" w:right="0" w:firstLine="709"/>
        <w:jc w:val="both"/>
        <w:rPr>
          <w:rFonts w:ascii="Times New Roman" w:hAnsi="Times New Roman" w:cs="Times New Roman"/>
        </w:rPr>
      </w:pPr>
      <w:r>
        <w:rPr>
          <w:rFonts w:cs="Times New Roman"/>
        </w:rPr>
        <w:t xml:space="preserve">14.1. </w:t>
      </w:r>
      <w:r>
        <w:rPr>
          <w:rFonts w:cs="Times New Roman"/>
          <w:b/>
        </w:rPr>
        <w:t>по доставке материальных ресурсов</w:t>
      </w:r>
      <w:r>
        <w:rPr>
          <w:rFonts w:cs="Times New Roman"/>
        </w:rPr>
        <w:t xml:space="preserve"> </w:t>
      </w:r>
    </w:p>
    <w:p>
      <w:pPr>
        <w:pStyle w:val="Normal"/>
        <w:widowControl w:val="false"/>
        <w:numPr>
          <w:ilvl w:val="0"/>
          <w:numId w:val="16"/>
        </w:numPr>
        <w:tabs>
          <w:tab w:val="clear" w:pos="708"/>
          <w:tab w:val="left" w:pos="1134" w:leader="none"/>
        </w:tabs>
        <w:spacing w:lineRule="auto" w:line="240" w:before="40" w:after="40"/>
        <w:ind w:left="1287" w:right="0" w:firstLine="709"/>
        <w:jc w:val="both"/>
        <w:rPr>
          <w:rFonts w:ascii="Times New Roman" w:hAnsi="Times New Roman" w:cs="Times New Roman"/>
        </w:rPr>
      </w:pPr>
      <w:r>
        <w:rPr>
          <w:rFonts w:cs="Times New Roman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>
      <w:pPr>
        <w:pStyle w:val="Normal"/>
        <w:numPr>
          <w:ilvl w:val="0"/>
          <w:numId w:val="16"/>
        </w:numPr>
        <w:tabs>
          <w:tab w:val="clear" w:pos="708"/>
          <w:tab w:val="left" w:pos="1134" w:leader="none"/>
        </w:tabs>
        <w:spacing w:lineRule="auto" w:line="240" w:before="40" w:after="40"/>
        <w:ind w:left="1287" w:right="0" w:firstLine="709"/>
        <w:jc w:val="both"/>
        <w:rPr>
          <w:rFonts w:ascii="Times New Roman" w:hAnsi="Times New Roman" w:cs="Times New Roman"/>
        </w:rPr>
      </w:pPr>
      <w:r>
        <w:rPr>
          <w:rFonts w:cs="Times New Roman"/>
        </w:rPr>
        <w:t>методом коньюнктурного анализа в соответствии с Методикой 421;</w:t>
      </w:r>
    </w:p>
    <w:p>
      <w:pPr>
        <w:pStyle w:val="Normal"/>
        <w:numPr>
          <w:ilvl w:val="0"/>
          <w:numId w:val="16"/>
        </w:numPr>
        <w:tabs>
          <w:tab w:val="clear" w:pos="708"/>
          <w:tab w:val="left" w:pos="1134" w:leader="none"/>
        </w:tabs>
        <w:spacing w:lineRule="auto" w:line="240" w:before="40" w:after="40"/>
        <w:ind w:left="1287" w:right="0" w:firstLine="709"/>
        <w:jc w:val="both"/>
        <w:rPr>
          <w:rFonts w:ascii="Times New Roman" w:hAnsi="Times New Roman" w:cs="Times New Roman"/>
        </w:rPr>
      </w:pPr>
      <w:r>
        <w:rPr>
          <w:rFonts w:cs="Times New Roman"/>
        </w:rPr>
        <w:t>в размере до 3-х процентов от отпускной цены материальных ресурсов (при невозможности определить затраты указанными выше способами), по решению заказчика.</w:t>
      </w:r>
    </w:p>
    <w:p>
      <w:pPr>
        <w:pStyle w:val="Normal"/>
        <w:widowControl w:val="false"/>
        <w:numPr>
          <w:ilvl w:val="0"/>
        </w:numPr>
        <w:tabs>
          <w:tab w:val="clear" w:pos="708"/>
          <w:tab w:val="left" w:pos="1134" w:leader="none"/>
        </w:tabs>
        <w:spacing w:lineRule="auto" w:line="240" w:before="40" w:after="40"/>
        <w:ind w:left="0" w:right="0" w:firstLine="709"/>
        <w:jc w:val="both"/>
        <w:rPr>
          <w:rFonts w:ascii="Times New Roman" w:hAnsi="Times New Roman" w:cs="Times New Roman"/>
        </w:rPr>
      </w:pPr>
      <w:r>
        <w:rPr>
          <w:rFonts w:cs="Times New Roman"/>
        </w:rPr>
        <w:t>14.2.</w:t>
      </w:r>
      <w:r>
        <w:rPr>
          <w:rFonts w:cs="Times New Roman"/>
          <w:b/>
          <w:bCs/>
          <w:sz w:val="20"/>
          <w:szCs w:val="20"/>
        </w:rPr>
        <w:t xml:space="preserve"> </w:t>
      </w:r>
      <w:r>
        <w:rPr>
          <w:rFonts w:cs="Times New Roman"/>
          <w:b/>
          <w:bCs/>
        </w:rPr>
        <w:t>по доставке оборудования</w:t>
      </w:r>
      <w:r>
        <w:rPr>
          <w:rFonts w:cs="Times New Roman"/>
        </w:rPr>
        <w:t>:</w:t>
      </w:r>
    </w:p>
    <w:p>
      <w:pPr>
        <w:pStyle w:val="Normal"/>
        <w:numPr>
          <w:ilvl w:val="0"/>
          <w:numId w:val="16"/>
        </w:numPr>
        <w:tabs>
          <w:tab w:val="clear" w:pos="708"/>
          <w:tab w:val="left" w:pos="1134" w:leader="none"/>
        </w:tabs>
        <w:spacing w:lineRule="auto" w:line="240" w:before="40" w:after="40"/>
        <w:ind w:left="1287" w:right="0" w:firstLine="709"/>
        <w:jc w:val="both"/>
        <w:rPr>
          <w:rFonts w:ascii="Times New Roman" w:hAnsi="Times New Roman" w:cs="Times New Roman"/>
        </w:rPr>
      </w:pPr>
      <w:r>
        <w:rPr>
          <w:rFonts w:cs="Times New Roman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>
      <w:pPr>
        <w:pStyle w:val="Normal"/>
        <w:numPr>
          <w:ilvl w:val="0"/>
          <w:numId w:val="16"/>
        </w:numPr>
        <w:tabs>
          <w:tab w:val="clear" w:pos="708"/>
          <w:tab w:val="left" w:pos="1134" w:leader="none"/>
        </w:tabs>
        <w:spacing w:lineRule="auto" w:line="240" w:before="40" w:after="40"/>
        <w:ind w:left="1287" w:right="0" w:firstLine="709"/>
        <w:jc w:val="both"/>
        <w:rPr>
          <w:rFonts w:ascii="Times New Roman" w:hAnsi="Times New Roman" w:cs="Times New Roman"/>
        </w:rPr>
      </w:pPr>
      <w:r>
        <w:rPr>
          <w:rFonts w:cs="Times New Roman"/>
        </w:rPr>
        <w:t>методом коньюнктурного анализа в соответствии с Методикой 421;</w:t>
      </w:r>
    </w:p>
    <w:p>
      <w:pPr>
        <w:pStyle w:val="Normal"/>
        <w:widowControl w:val="false"/>
        <w:numPr>
          <w:ilvl w:val="0"/>
          <w:numId w:val="16"/>
        </w:numPr>
        <w:tabs>
          <w:tab w:val="clear" w:pos="708"/>
          <w:tab w:val="left" w:pos="284" w:leader="none"/>
          <w:tab w:val="left" w:pos="1134" w:leader="none"/>
        </w:tabs>
        <w:spacing w:lineRule="auto" w:line="240" w:before="40" w:after="40"/>
        <w:ind w:left="1287" w:right="0" w:firstLine="709"/>
        <w:jc w:val="both"/>
        <w:rPr>
          <w:rFonts w:ascii="Times New Roman" w:hAnsi="Times New Roman" w:cs="Times New Roman"/>
          <w:color w:val="000000"/>
        </w:rPr>
      </w:pPr>
      <w:r>
        <w:rPr>
          <w:rFonts w:cs="Times New Roman"/>
        </w:rPr>
        <w:t>в размере до 3-х процентов от отпускной цены оборудования (при невозможности определить затраты указанными выше способами), по решению заказчика.</w:t>
      </w:r>
    </w:p>
    <w:p>
      <w:pPr>
        <w:pStyle w:val="Normal"/>
        <w:widowControl w:val="false"/>
        <w:numPr>
          <w:ilvl w:val="0"/>
        </w:numPr>
        <w:tabs>
          <w:tab w:val="clear" w:pos="708"/>
          <w:tab w:val="left" w:pos="567" w:leader="none"/>
          <w:tab w:val="left" w:pos="993" w:leader="none"/>
        </w:tabs>
        <w:spacing w:lineRule="auto" w:line="240" w:before="40" w:after="40"/>
        <w:ind w:left="0" w:right="0" w:firstLine="709"/>
        <w:jc w:val="both"/>
        <w:rPr>
          <w:rFonts w:ascii="Times New Roman" w:hAnsi="Times New Roman" w:cs="Times New Roman"/>
          <w:color w:val="000000"/>
        </w:rPr>
      </w:pPr>
      <w:r>
        <w:rPr>
          <w:rFonts w:cs="Times New Roman"/>
          <w:color w:val="000000"/>
        </w:rPr>
        <w:t>Если транспортировка осуществляется заказчиком самостоятельно (самовывоз), данный показатель не учитывается.</w:t>
      </w:r>
    </w:p>
    <w:p>
      <w:pPr>
        <w:pStyle w:val="Normal"/>
        <w:widowControl w:val="false"/>
        <w:numPr>
          <w:ilvl w:val="0"/>
          <w:numId w:val="14"/>
        </w:numPr>
        <w:tabs>
          <w:tab w:val="clear" w:pos="708"/>
          <w:tab w:val="left" w:pos="567" w:leader="none"/>
          <w:tab w:val="left" w:pos="705" w:leader="none"/>
          <w:tab w:val="left" w:pos="993" w:leader="none"/>
          <w:tab w:val="left" w:pos="1272" w:leader="none"/>
        </w:tabs>
        <w:spacing w:lineRule="auto" w:line="240" w:before="40" w:after="40"/>
        <w:ind w:left="705" w:right="0" w:firstLine="709"/>
        <w:jc w:val="both"/>
        <w:rPr>
          <w:rFonts w:ascii="Times New Roman" w:hAnsi="Times New Roman" w:cs="Times New Roman"/>
        </w:rPr>
      </w:pPr>
      <w:r>
        <w:rPr>
          <w:rFonts w:cs="Times New Roman"/>
        </w:rPr>
        <w:t>Заготовительно-складские расходы определяются в % от суммы отпускной цены материалов, изделий, конструкций, оборудования и транспортных затрат:</w:t>
      </w:r>
    </w:p>
    <w:p>
      <w:pPr>
        <w:pStyle w:val="Normal"/>
        <w:widowControl w:val="false"/>
        <w:numPr>
          <w:ilvl w:val="0"/>
          <w:numId w:val="17"/>
        </w:numPr>
        <w:tabs>
          <w:tab w:val="clear" w:pos="708"/>
          <w:tab w:val="left" w:pos="567" w:leader="none"/>
          <w:tab w:val="left" w:pos="993" w:leader="none"/>
        </w:tabs>
        <w:spacing w:lineRule="auto" w:line="240" w:before="40" w:after="40"/>
        <w:ind w:left="1287" w:right="0" w:firstLine="709"/>
        <w:jc w:val="both"/>
        <w:rPr>
          <w:rFonts w:ascii="Times New Roman" w:hAnsi="Times New Roman" w:cs="Times New Roman"/>
        </w:rPr>
      </w:pPr>
      <w:r>
        <w:rPr>
          <w:rFonts w:cs="Times New Roman"/>
        </w:rPr>
        <w:t>2% - для материальных ресурсов (кроме металлоконструкций);</w:t>
      </w:r>
    </w:p>
    <w:p>
      <w:pPr>
        <w:pStyle w:val="Normal"/>
        <w:widowControl w:val="false"/>
        <w:numPr>
          <w:ilvl w:val="0"/>
          <w:numId w:val="17"/>
        </w:numPr>
        <w:tabs>
          <w:tab w:val="clear" w:pos="708"/>
          <w:tab w:val="left" w:pos="567" w:leader="none"/>
          <w:tab w:val="left" w:pos="993" w:leader="none"/>
        </w:tabs>
        <w:spacing w:lineRule="auto" w:line="240" w:before="40" w:after="40"/>
        <w:ind w:left="1287" w:right="0" w:firstLine="709"/>
        <w:jc w:val="both"/>
        <w:rPr>
          <w:rFonts w:ascii="Times New Roman" w:hAnsi="Times New Roman" w:cs="Times New Roman"/>
        </w:rPr>
      </w:pPr>
      <w:r>
        <w:rPr>
          <w:rFonts w:cs="Times New Roman"/>
        </w:rPr>
        <w:t>0,75% - для металлоконструкций;</w:t>
      </w:r>
    </w:p>
    <w:p>
      <w:pPr>
        <w:pStyle w:val="Normal"/>
        <w:widowControl w:val="false"/>
        <w:numPr>
          <w:ilvl w:val="0"/>
          <w:numId w:val="17"/>
        </w:numPr>
        <w:tabs>
          <w:tab w:val="clear" w:pos="708"/>
          <w:tab w:val="left" w:pos="567" w:leader="none"/>
          <w:tab w:val="left" w:pos="993" w:leader="none"/>
        </w:tabs>
        <w:spacing w:lineRule="auto" w:line="240" w:before="40" w:after="40"/>
        <w:ind w:left="1287" w:right="0" w:firstLine="709"/>
        <w:jc w:val="both"/>
        <w:rPr>
          <w:rFonts w:ascii="Times New Roman" w:hAnsi="Times New Roman" w:cs="Times New Roman"/>
          <w:color w:val="000000"/>
        </w:rPr>
      </w:pPr>
      <w:r>
        <w:rPr>
          <w:rFonts w:cs="Times New Roman"/>
        </w:rPr>
        <w:t>1,2% - для оборудования.</w:t>
      </w:r>
    </w:p>
    <w:p>
      <w:pPr>
        <w:pStyle w:val="Normal"/>
        <w:numPr>
          <w:ilvl w:val="0"/>
          <w:numId w:val="14"/>
        </w:numPr>
        <w:tabs>
          <w:tab w:val="clear" w:pos="708"/>
          <w:tab w:val="left" w:pos="567" w:leader="none"/>
          <w:tab w:val="left" w:pos="705" w:leader="none"/>
          <w:tab w:val="left" w:pos="993" w:leader="none"/>
          <w:tab w:val="left" w:pos="1272" w:leader="none"/>
        </w:tabs>
        <w:spacing w:lineRule="auto" w:line="240" w:before="40" w:after="40"/>
        <w:ind w:left="705" w:right="0" w:firstLine="709"/>
        <w:jc w:val="both"/>
        <w:rPr>
          <w:rFonts w:ascii="Times New Roman" w:hAnsi="Times New Roman" w:cs="Times New Roman"/>
          <w:color w:val="000000"/>
        </w:rPr>
      </w:pPr>
      <w:r>
        <w:rPr>
          <w:rFonts w:cs="Times New Roman"/>
          <w:color w:val="000000"/>
        </w:rPr>
        <w:t xml:space="preserve">         </w:t>
      </w:r>
      <w:r>
        <w:rPr>
          <w:rFonts w:cs="Times New Roman"/>
          <w:color w:val="000000"/>
        </w:rPr>
        <w:t>Затраты на эксплуатацию строительной техники, не учтенной нормами и расценками, включенными в ФРСН, определяются Методом анализа ТКП в соответствии с Методикой ПЦ и включаются в Главу 9 ССРСС.</w:t>
      </w:r>
    </w:p>
    <w:p>
      <w:pPr>
        <w:pStyle w:val="Normal"/>
        <w:numPr>
          <w:ilvl w:val="0"/>
          <w:numId w:val="14"/>
        </w:numPr>
        <w:tabs>
          <w:tab w:val="clear" w:pos="708"/>
          <w:tab w:val="left" w:pos="567" w:leader="none"/>
          <w:tab w:val="left" w:pos="705" w:leader="none"/>
          <w:tab w:val="left" w:pos="993" w:leader="none"/>
          <w:tab w:val="left" w:pos="1272" w:leader="none"/>
        </w:tabs>
        <w:spacing w:lineRule="auto" w:line="240" w:before="40" w:after="40"/>
        <w:ind w:left="705" w:right="0" w:firstLine="709"/>
        <w:jc w:val="both"/>
        <w:rPr>
          <w:rFonts w:ascii="Times New Roman" w:hAnsi="Times New Roman" w:cs="Times New Roman"/>
        </w:rPr>
      </w:pPr>
      <w:r>
        <w:rPr>
          <w:rFonts w:cs="Times New Roman"/>
          <w:color w:val="000000"/>
        </w:rPr>
        <w:t>При формировании сметной стоимости с ЛСР (ЛС) отдельно выделяется сметная стоимость по видам оборудования: инженерное; технологическое; лабораторное; транспортные средства; инструмент для технологических процессов; производственный и хозяйственный инвентарь, в т.ч. мебель.</w:t>
      </w:r>
    </w:p>
    <w:p>
      <w:pPr>
        <w:pStyle w:val="Normal"/>
        <w:numPr>
          <w:ilvl w:val="0"/>
          <w:numId w:val="14"/>
        </w:numPr>
        <w:tabs>
          <w:tab w:val="clear" w:pos="708"/>
          <w:tab w:val="left" w:pos="567" w:leader="none"/>
          <w:tab w:val="left" w:pos="705" w:leader="none"/>
          <w:tab w:val="left" w:pos="993" w:leader="none"/>
          <w:tab w:val="left" w:pos="1272" w:leader="none"/>
        </w:tabs>
        <w:spacing w:lineRule="auto" w:line="240" w:before="40" w:after="40"/>
        <w:ind w:left="705" w:right="0" w:firstLine="709"/>
        <w:jc w:val="both"/>
        <w:rPr>
          <w:rFonts w:ascii="Times New Roman" w:hAnsi="Times New Roman" w:cs="Times New Roman"/>
          <w:color w:val="000000"/>
        </w:rPr>
      </w:pPr>
      <w:r>
        <w:rPr>
          <w:rFonts w:cs="Times New Roman"/>
        </w:rPr>
        <w:t>При использовании в сметах коэффициентов и лимитированных затрат указывать обоснование из технической части, вводных указаний сборников или других нормативных документов и приложений к ним.</w:t>
      </w:r>
    </w:p>
    <w:p>
      <w:pPr>
        <w:pStyle w:val="Normal"/>
        <w:numPr>
          <w:ilvl w:val="0"/>
          <w:numId w:val="14"/>
        </w:numPr>
        <w:tabs>
          <w:tab w:val="clear" w:pos="708"/>
          <w:tab w:val="left" w:pos="567" w:leader="none"/>
          <w:tab w:val="left" w:pos="705" w:leader="none"/>
          <w:tab w:val="left" w:pos="993" w:leader="none"/>
          <w:tab w:val="left" w:pos="1272" w:leader="none"/>
        </w:tabs>
        <w:spacing w:lineRule="auto" w:line="240" w:before="40" w:after="40"/>
        <w:ind w:left="705" w:right="0" w:firstLine="709"/>
        <w:jc w:val="both"/>
        <w:rPr>
          <w:rFonts w:ascii="Times New Roman" w:hAnsi="Times New Roman" w:cs="Times New Roman"/>
          <w:color w:val="000000"/>
        </w:rPr>
      </w:pPr>
      <w:r>
        <w:rPr>
          <w:rFonts w:cs="Times New Roman"/>
          <w:color w:val="000000"/>
        </w:rPr>
        <w:t>Поправочные коэффициенты из технической части к расценкам (например, на демонтаж или для учета особых условий выполнения работ) учитываются индивидуально для каждой позиции и в выходных формах при выгрузке в формат «Excel» указываются попозиционно.</w:t>
      </w:r>
      <w:r>
        <w:rPr>
          <w:rFonts w:cs="Times New Roman"/>
          <w:color w:val="FF0000"/>
        </w:rPr>
        <w:t xml:space="preserve"> </w:t>
      </w:r>
      <w:r>
        <w:rPr>
          <w:rFonts w:cs="Times New Roman"/>
        </w:rPr>
        <w:t xml:space="preserve">Коэффициенты, учитывающие усложняющие факторы и условия производства работ, могут применяться одновременно с другими коэффициентами, предусмотренными сметными нормативами, включенными в ФРСН. При одновременном </w:t>
      </w:r>
      <w:r>
        <w:rPr>
          <w:rFonts w:cs="Times New Roman"/>
          <w:color w:val="000000"/>
        </w:rPr>
        <w:t xml:space="preserve">применении коэффициентов результирующее значение коэффициента определяется, согласно пп. 51, 52 Методики 421. </w:t>
      </w:r>
    </w:p>
    <w:p>
      <w:pPr>
        <w:pStyle w:val="Normal"/>
        <w:numPr>
          <w:ilvl w:val="0"/>
          <w:numId w:val="14"/>
        </w:numPr>
        <w:tabs>
          <w:tab w:val="clear" w:pos="708"/>
          <w:tab w:val="left" w:pos="567" w:leader="none"/>
          <w:tab w:val="left" w:pos="705" w:leader="none"/>
          <w:tab w:val="left" w:pos="993" w:leader="none"/>
          <w:tab w:val="left" w:pos="1272" w:leader="none"/>
        </w:tabs>
        <w:spacing w:lineRule="auto" w:line="240" w:before="40" w:after="40"/>
        <w:ind w:left="705" w:right="0" w:firstLine="709"/>
        <w:jc w:val="both"/>
        <w:rPr>
          <w:rFonts w:ascii="Times New Roman" w:hAnsi="Times New Roman" w:cs="Times New Roman"/>
        </w:rPr>
      </w:pPr>
      <w:r>
        <w:rPr>
          <w:rFonts w:cs="Times New Roman"/>
          <w:color w:val="000000"/>
        </w:rPr>
        <w:t>При внесении изменений в сметную документацию разрабатывается сводный сметный расчет, определяющий общую сметную стоимость строительства с учетом произведенных изменений проектной и (или) иной технической документации на полный объем работ с учетом объемов корректировки (исключаемых и дополнительных). Локальные сметные расчеты (сметы) разрабатываются отдельно на исключаемые и дополнительные объемы работ.</w:t>
      </w:r>
    </w:p>
    <w:p>
      <w:pPr>
        <w:pStyle w:val="Normal"/>
        <w:numPr>
          <w:ilvl w:val="0"/>
          <w:numId w:val="14"/>
        </w:numPr>
        <w:tabs>
          <w:tab w:val="clear" w:pos="708"/>
          <w:tab w:val="left" w:pos="567" w:leader="none"/>
          <w:tab w:val="left" w:pos="705" w:leader="none"/>
          <w:tab w:val="left" w:pos="993" w:leader="none"/>
          <w:tab w:val="left" w:pos="1272" w:leader="none"/>
        </w:tabs>
        <w:spacing w:lineRule="auto" w:line="240" w:before="40" w:after="40"/>
        <w:ind w:left="705" w:right="0" w:firstLine="709"/>
        <w:jc w:val="both"/>
        <w:rPr>
          <w:rFonts w:ascii="Times New Roman" w:hAnsi="Times New Roman" w:cs="Times New Roman"/>
        </w:rPr>
      </w:pPr>
      <w:r>
        <w:rPr>
          <w:rFonts w:cs="Times New Roman"/>
        </w:rPr>
        <w:t>Резерв средств на непредвиденные работы и затраты определять в ТТ и начислять в смете в процентах в размере, указанном в утвержденных ТТ. Порядок расчета за непредвиденные работы и затраты оговаривать в договоре подряда.</w:t>
      </w:r>
    </w:p>
    <w:p>
      <w:pPr>
        <w:pStyle w:val="Normal"/>
        <w:numPr>
          <w:ilvl w:val="0"/>
          <w:numId w:val="14"/>
        </w:numPr>
        <w:tabs>
          <w:tab w:val="clear" w:pos="708"/>
          <w:tab w:val="left" w:pos="567" w:leader="none"/>
          <w:tab w:val="left" w:pos="705" w:leader="none"/>
          <w:tab w:val="left" w:pos="993" w:leader="none"/>
          <w:tab w:val="left" w:pos="1272" w:leader="none"/>
        </w:tabs>
        <w:spacing w:lineRule="auto" w:line="240" w:before="40" w:after="40"/>
        <w:ind w:left="705" w:right="0" w:firstLine="709"/>
        <w:jc w:val="both"/>
        <w:rPr>
          <w:rFonts w:ascii="Times New Roman" w:hAnsi="Times New Roman" w:cs="Times New Roman"/>
        </w:rPr>
      </w:pPr>
      <w:r>
        <w:rPr>
          <w:rFonts w:cs="Times New Roman"/>
        </w:rPr>
        <w:t>В ЛСР (ЛС) указывать величину накладных расходов по видам строительных, ремонтно-строительных, монтажных и пусконаладочных работ, на основании нормативных документов, внесенных в ФРСН.</w:t>
      </w:r>
    </w:p>
    <w:p>
      <w:pPr>
        <w:pStyle w:val="Normal"/>
        <w:numPr>
          <w:ilvl w:val="0"/>
          <w:numId w:val="14"/>
        </w:numPr>
        <w:tabs>
          <w:tab w:val="clear" w:pos="708"/>
          <w:tab w:val="left" w:pos="567" w:leader="none"/>
          <w:tab w:val="left" w:pos="705" w:leader="none"/>
          <w:tab w:val="left" w:pos="993" w:leader="none"/>
          <w:tab w:val="left" w:pos="1272" w:leader="none"/>
        </w:tabs>
        <w:spacing w:lineRule="auto" w:line="240" w:before="40" w:after="40"/>
        <w:ind w:left="705" w:right="0" w:firstLine="709"/>
        <w:jc w:val="both"/>
        <w:rPr>
          <w:rFonts w:ascii="Times New Roman" w:hAnsi="Times New Roman" w:cs="Times New Roman"/>
        </w:rPr>
      </w:pPr>
      <w:r>
        <w:rPr>
          <w:rFonts w:cs="Times New Roman"/>
        </w:rPr>
        <w:t>В ЛСР (ЛС) указывать величину сметной прибыли по видам строительных, ремонтно-строительных, монтажных и пусконаладочных работ, на основании актуальных нормативных документов, внесенных в ФРСН.</w:t>
      </w:r>
    </w:p>
    <w:p>
      <w:pPr>
        <w:pStyle w:val="Normal"/>
        <w:numPr>
          <w:ilvl w:val="0"/>
          <w:numId w:val="14"/>
        </w:numPr>
        <w:tabs>
          <w:tab w:val="clear" w:pos="708"/>
          <w:tab w:val="left" w:pos="567" w:leader="none"/>
          <w:tab w:val="left" w:pos="705" w:leader="none"/>
          <w:tab w:val="left" w:pos="993" w:leader="none"/>
          <w:tab w:val="left" w:pos="1272" w:leader="none"/>
        </w:tabs>
        <w:spacing w:lineRule="auto" w:line="240" w:before="40" w:after="40"/>
        <w:ind w:left="705" w:right="0" w:firstLine="709"/>
        <w:jc w:val="both"/>
        <w:rPr>
          <w:rFonts w:ascii="Times New Roman" w:hAnsi="Times New Roman" w:cs="Times New Roman"/>
        </w:rPr>
      </w:pPr>
      <w:r>
        <w:rPr>
          <w:rFonts w:cs="Times New Roman"/>
        </w:rPr>
        <w:t xml:space="preserve">Сметная стоимость пусконаладочных работ определяется на основании утвержденных заказчиком программы и графика. Расчет стоимости пусконаладочных работ составлять с применением сметных нормативов, включенных в ФРСН. При определении сметной стоимости полного комплекса пусконаладочных работ на основании раздела </w:t>
      </w:r>
      <w:r>
        <w:rPr>
          <w:rFonts w:cs="Times New Roman"/>
          <w:lang w:val="en-US"/>
        </w:rPr>
        <w:t>VII</w:t>
      </w:r>
      <w:r>
        <w:rPr>
          <w:rFonts w:cs="Times New Roman"/>
        </w:rPr>
        <w:t xml:space="preserve"> Методики 421: </w:t>
      </w:r>
    </w:p>
    <w:p>
      <w:pPr>
        <w:pStyle w:val="Normal"/>
        <w:widowControl w:val="false"/>
        <w:numPr>
          <w:ilvl w:val="0"/>
          <w:numId w:val="18"/>
        </w:numPr>
        <w:tabs>
          <w:tab w:val="clear" w:pos="708"/>
          <w:tab w:val="left" w:pos="567" w:leader="none"/>
          <w:tab w:val="left" w:pos="851" w:leader="none"/>
          <w:tab w:val="left" w:pos="993" w:leader="none"/>
        </w:tabs>
        <w:spacing w:lineRule="auto" w:line="240" w:before="40" w:after="40"/>
        <w:ind w:left="1287" w:right="0" w:firstLine="709"/>
        <w:jc w:val="both"/>
        <w:rPr>
          <w:rFonts w:ascii="Times New Roman" w:hAnsi="Times New Roman" w:cs="Times New Roman"/>
        </w:rPr>
      </w:pPr>
      <w:r>
        <w:rPr>
          <w:rFonts w:cs="Times New Roman"/>
        </w:rPr>
        <w:t>Затраты на проведение пусконаладочных работ «вхолостую» по объектам производственного и непроизводственного назначения, связанных с получением дохода от реализации товаров (услуг) включаются в Главу 9 «Прочие работы и затраты» (графы 7 и 8) ССРСС. В соответствии с заданием Заказчика и при обосновании программами ПНР (комплексного опробования оборудования), в сметной стоимости ПНР дополнительно могут учитываться: стоимость материальных, энергетических ресурсов, сырья и полуфабрикатов, используемых при проведении ПНР «вхолостую».</w:t>
      </w:r>
    </w:p>
    <w:p>
      <w:pPr>
        <w:pStyle w:val="Normal"/>
        <w:widowControl w:val="false"/>
        <w:numPr>
          <w:ilvl w:val="0"/>
          <w:numId w:val="18"/>
        </w:numPr>
        <w:tabs>
          <w:tab w:val="clear" w:pos="708"/>
          <w:tab w:val="left" w:pos="567" w:leader="none"/>
          <w:tab w:val="left" w:pos="851" w:leader="none"/>
          <w:tab w:val="left" w:pos="993" w:leader="none"/>
        </w:tabs>
        <w:spacing w:lineRule="auto" w:line="240" w:before="40" w:after="40"/>
        <w:ind w:left="1287" w:right="0" w:firstLine="709"/>
        <w:jc w:val="both"/>
        <w:rPr>
          <w:rFonts w:ascii="Times New Roman" w:hAnsi="Times New Roman" w:cs="Times New Roman"/>
        </w:rPr>
      </w:pPr>
      <w:r>
        <w:rPr>
          <w:rFonts w:cs="Times New Roman"/>
        </w:rPr>
        <w:t xml:space="preserve">Пусконаладочные работы «под нагрузкой» для объектов производственного и непроизводственного назначения, связанных с получением дохода от реализации товаров (услуг) не относятся на сметную стоимость строительства и в сметной документации не учитываются. </w:t>
      </w:r>
    </w:p>
    <w:p>
      <w:pPr>
        <w:pStyle w:val="Normal"/>
        <w:widowControl w:val="false"/>
        <w:numPr>
          <w:ilvl w:val="0"/>
        </w:numPr>
        <w:tabs>
          <w:tab w:val="clear" w:pos="708"/>
          <w:tab w:val="left" w:pos="567" w:leader="none"/>
          <w:tab w:val="left" w:pos="993" w:leader="none"/>
        </w:tabs>
        <w:spacing w:lineRule="auto" w:line="240" w:before="40" w:after="40"/>
        <w:ind w:left="0" w:right="0" w:firstLine="709"/>
        <w:jc w:val="both"/>
        <w:rPr>
          <w:rFonts w:ascii="Times New Roman" w:hAnsi="Times New Roman" w:cs="Times New Roman"/>
        </w:rPr>
      </w:pPr>
      <w:r>
        <w:rPr>
          <w:rFonts w:cs="Times New Roman"/>
        </w:rPr>
        <w:t xml:space="preserve">Исключением являются ПНР на особо опасных, технически сложных и уникальных объектах капитального строительства, где необходимость учета таких затрат определяется заказчиком. Данные работы оформляются отдельными локальными сметами в соответствии </w:t>
      </w:r>
      <w:r>
        <w:rPr>
          <w:rFonts w:cs="Times New Roman"/>
          <w:color w:val="000000"/>
        </w:rPr>
        <w:t>с Приложением №3 к настоящим требованиям и включаются в ССРСС.</w:t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851" w:leader="none"/>
        </w:tabs>
        <w:spacing w:lineRule="auto" w:line="240" w:before="40" w:after="40"/>
        <w:ind w:left="0" w:right="0" w:firstLine="709"/>
        <w:jc w:val="both"/>
        <w:rPr>
          <w:rFonts w:ascii="Times New Roman" w:hAnsi="Times New Roman" w:cs="Times New Roman"/>
        </w:rPr>
      </w:pPr>
      <w:r>
        <w:rPr>
          <w:rFonts w:cs="Times New Roman"/>
        </w:rPr>
        <w:t xml:space="preserve">Данные работы оформляются отдельными локальными сметами в соответствии </w:t>
      </w:r>
      <w:r>
        <w:rPr>
          <w:rFonts w:cs="Times New Roman"/>
          <w:color w:val="000000"/>
        </w:rPr>
        <w:t xml:space="preserve">с Приложением </w:t>
      </w:r>
      <w:r>
        <w:rPr>
          <w:rFonts w:cs="Times New Roman"/>
        </w:rPr>
        <w:t>№ 2</w:t>
      </w:r>
      <w:r>
        <w:rPr>
          <w:rFonts w:cs="Times New Roman"/>
          <w:color w:val="FF0000"/>
        </w:rPr>
        <w:t xml:space="preserve"> </w:t>
      </w:r>
      <w:r>
        <w:rPr>
          <w:rFonts w:cs="Times New Roman"/>
          <w:color w:val="000000"/>
        </w:rPr>
        <w:t xml:space="preserve">к Требованиям по оформлению и составлению сметной документации на выполнение строительно-монтажных работ по программе реконструкции и техническому перевооружению и включаются в ССР. </w:t>
      </w:r>
    </w:p>
    <w:p>
      <w:pPr>
        <w:pStyle w:val="Normal"/>
        <w:numPr>
          <w:ilvl w:val="0"/>
          <w:numId w:val="14"/>
        </w:numPr>
        <w:tabs>
          <w:tab w:val="clear" w:pos="708"/>
          <w:tab w:val="left" w:pos="567" w:leader="none"/>
          <w:tab w:val="left" w:pos="705" w:leader="none"/>
          <w:tab w:val="left" w:pos="993" w:leader="none"/>
          <w:tab w:val="left" w:pos="1272" w:leader="none"/>
        </w:tabs>
        <w:spacing w:lineRule="auto" w:line="240" w:before="40" w:after="40"/>
        <w:ind w:left="705" w:right="0" w:firstLine="709"/>
        <w:jc w:val="both"/>
        <w:rPr>
          <w:rFonts w:ascii="Times New Roman" w:hAnsi="Times New Roman" w:cs="Times New Roman"/>
          <w:color w:val="000000"/>
        </w:rPr>
      </w:pPr>
      <w:r>
        <w:rPr>
          <w:rFonts w:cs="Times New Roman"/>
          <w:color w:val="000000"/>
        </w:rPr>
        <w:t xml:space="preserve">При необходимости учета командировочных расходов в сметной документации составляется расчет (прил.№3 к Требованиям по оформлению и составлению сметной документации на выполнение строительно-монтажных работ по программе реконструкции и техническому перевооружению). Размер суточных командировочных расходов определяется в соответствии с законодательством РФ и с учетом норм, определяемых внутренним документом организации. </w:t>
      </w:r>
    </w:p>
    <w:p>
      <w:pPr>
        <w:pStyle w:val="Normal"/>
        <w:numPr>
          <w:ilvl w:val="0"/>
        </w:numPr>
        <w:tabs>
          <w:tab w:val="clear" w:pos="708"/>
          <w:tab w:val="left" w:pos="567" w:leader="none"/>
          <w:tab w:val="left" w:pos="993" w:leader="none"/>
        </w:tabs>
        <w:spacing w:lineRule="auto" w:line="240" w:before="40" w:after="40"/>
        <w:ind w:left="0" w:right="0" w:firstLine="709"/>
        <w:jc w:val="both"/>
        <w:rPr>
          <w:rFonts w:ascii="Times New Roman" w:hAnsi="Times New Roman" w:cs="Times New Roman"/>
          <w:color w:val="000000"/>
        </w:rPr>
      </w:pPr>
      <w:r>
        <w:rPr>
          <w:rFonts w:cs="Times New Roman"/>
          <w:color w:val="000000"/>
        </w:rPr>
        <w:t>Лимиты командировочных расходов при производстве СМР и ПНР по статьям затрат следующие:</w:t>
      </w:r>
    </w:p>
    <w:p>
      <w:pPr>
        <w:pStyle w:val="Normal"/>
        <w:widowControl w:val="false"/>
        <w:numPr>
          <w:ilvl w:val="0"/>
          <w:numId w:val="19"/>
        </w:numPr>
        <w:tabs>
          <w:tab w:val="clear" w:pos="708"/>
          <w:tab w:val="left" w:pos="567" w:leader="none"/>
          <w:tab w:val="left" w:pos="851" w:leader="none"/>
          <w:tab w:val="left" w:pos="993" w:leader="none"/>
        </w:tabs>
        <w:spacing w:lineRule="auto" w:line="240" w:before="40" w:after="40"/>
        <w:ind w:left="1211" w:right="0" w:firstLine="709"/>
        <w:jc w:val="both"/>
        <w:rPr>
          <w:rFonts w:ascii="Times New Roman" w:hAnsi="Times New Roman" w:cs="Times New Roman"/>
          <w:color w:val="000000"/>
        </w:rPr>
      </w:pPr>
      <w:r>
        <w:rPr>
          <w:rFonts w:cs="Times New Roman"/>
          <w:color w:val="000000"/>
        </w:rPr>
        <w:t>суточные – 700 руб./сутки;</w:t>
      </w:r>
    </w:p>
    <w:p>
      <w:pPr>
        <w:pStyle w:val="Normal"/>
        <w:widowControl w:val="false"/>
        <w:numPr>
          <w:ilvl w:val="0"/>
          <w:numId w:val="19"/>
        </w:numPr>
        <w:tabs>
          <w:tab w:val="clear" w:pos="708"/>
          <w:tab w:val="left" w:pos="567" w:leader="none"/>
          <w:tab w:val="left" w:pos="851" w:leader="none"/>
          <w:tab w:val="left" w:pos="993" w:leader="none"/>
        </w:tabs>
        <w:spacing w:lineRule="auto" w:line="240" w:before="40" w:after="40"/>
        <w:ind w:left="1211" w:right="0" w:firstLine="709"/>
        <w:jc w:val="both"/>
        <w:rPr>
          <w:rFonts w:ascii="Times New Roman" w:hAnsi="Times New Roman" w:cs="Times New Roman"/>
          <w:color w:val="000000"/>
        </w:rPr>
      </w:pPr>
      <w:r>
        <w:rPr>
          <w:rFonts w:cs="Times New Roman"/>
          <w:color w:val="000000"/>
        </w:rPr>
        <w:t>проживание – 500 руб./сутки;</w:t>
      </w:r>
    </w:p>
    <w:p>
      <w:pPr>
        <w:pStyle w:val="Normal"/>
        <w:widowControl w:val="false"/>
        <w:numPr>
          <w:ilvl w:val="0"/>
          <w:numId w:val="19"/>
        </w:numPr>
        <w:tabs>
          <w:tab w:val="clear" w:pos="708"/>
          <w:tab w:val="left" w:pos="567" w:leader="none"/>
          <w:tab w:val="left" w:pos="851" w:leader="none"/>
          <w:tab w:val="left" w:pos="993" w:leader="none"/>
        </w:tabs>
        <w:spacing w:lineRule="auto" w:line="240" w:before="40" w:after="40"/>
        <w:ind w:left="1211" w:right="0" w:firstLine="709"/>
        <w:jc w:val="both"/>
        <w:rPr>
          <w:rFonts w:ascii="Times New Roman" w:hAnsi="Times New Roman" w:cs="Times New Roman"/>
          <w:b/>
          <w:i/>
          <w:i/>
          <w:color w:val="000000"/>
        </w:rPr>
      </w:pPr>
      <w:r>
        <w:rPr>
          <w:rFonts w:cs="Times New Roman"/>
          <w:color w:val="000000"/>
        </w:rPr>
        <w:t>проезд: поезд (купе) или самолет (класс–эконом с багажом до 20 (двадцати) кг, ручная кладь до 10 (десяти) кг).</w:t>
      </w:r>
    </w:p>
    <w:p>
      <w:pPr>
        <w:pStyle w:val="Normal"/>
        <w:widowControl w:val="false"/>
        <w:numPr>
          <w:ilvl w:val="0"/>
        </w:numPr>
        <w:tabs>
          <w:tab w:val="clear" w:pos="708"/>
          <w:tab w:val="left" w:pos="284" w:leader="none"/>
          <w:tab w:val="left" w:pos="709" w:leader="none"/>
          <w:tab w:val="left" w:pos="851" w:leader="none"/>
        </w:tabs>
        <w:spacing w:lineRule="auto" w:line="240" w:before="40" w:after="40"/>
        <w:ind w:left="1211" w:right="0" w:hanging="0"/>
        <w:jc w:val="both"/>
        <w:rPr>
          <w:rFonts w:ascii="Times New Roman" w:hAnsi="Times New Roman" w:cs="Times New Roman"/>
          <w:b/>
          <w:i/>
          <w:i/>
          <w:color w:val="000000"/>
        </w:rPr>
      </w:pPr>
      <w:r>
        <w:rPr>
          <w:rFonts w:cs="Times New Roman"/>
          <w:b/>
          <w:i/>
          <w:color w:val="000000"/>
        </w:rPr>
        <w:t>Данные лимиты могут быть пересмотрены на этапе согласования технических требований.</w:t>
      </w:r>
    </w:p>
    <w:p>
      <w:pPr>
        <w:pStyle w:val="Normal"/>
        <w:numPr>
          <w:ilvl w:val="0"/>
          <w:numId w:val="14"/>
        </w:numPr>
        <w:tabs>
          <w:tab w:val="clear" w:pos="708"/>
          <w:tab w:val="left" w:pos="567" w:leader="none"/>
          <w:tab w:val="left" w:pos="705" w:leader="none"/>
          <w:tab w:val="left" w:pos="993" w:leader="none"/>
          <w:tab w:val="left" w:pos="1272" w:leader="none"/>
        </w:tabs>
        <w:spacing w:lineRule="auto" w:line="240" w:before="40" w:after="40"/>
        <w:ind w:left="705" w:right="0" w:firstLine="709"/>
        <w:jc w:val="both"/>
        <w:rPr>
          <w:rFonts w:ascii="Times New Roman" w:hAnsi="Times New Roman" w:cs="Times New Roman"/>
        </w:rPr>
      </w:pPr>
      <w:r>
        <w:rPr>
          <w:rFonts w:cs="Times New Roman"/>
        </w:rPr>
        <w:t>При определении сметных затрат на демонтаж строительных конструкций и оборудования стоимость погрузки, перевозки (от строительной площадки до места утилизации или складирования) и разгрузки строительного мусора и материалов, полученных при разборке строительных конструкций и оборудования, следует учитывать дополнительно, на основании проектной и (или) иной технической документации, проекта организации работ по сносу объекта капитального строительства.</w:t>
      </w:r>
    </w:p>
    <w:p>
      <w:pPr>
        <w:pStyle w:val="Normal"/>
        <w:numPr>
          <w:ilvl w:val="0"/>
          <w:numId w:val="14"/>
        </w:numPr>
        <w:tabs>
          <w:tab w:val="clear" w:pos="708"/>
          <w:tab w:val="left" w:pos="567" w:leader="none"/>
          <w:tab w:val="left" w:pos="705" w:leader="none"/>
          <w:tab w:val="left" w:pos="993" w:leader="none"/>
          <w:tab w:val="left" w:pos="1272" w:leader="none"/>
        </w:tabs>
        <w:spacing w:lineRule="auto" w:line="240" w:before="40" w:after="40"/>
        <w:ind w:left="705" w:right="0" w:firstLine="709"/>
        <w:jc w:val="both"/>
        <w:rPr>
          <w:rFonts w:ascii="Times New Roman" w:hAnsi="Times New Roman" w:cs="Times New Roman"/>
        </w:rPr>
      </w:pPr>
      <w:bookmarkStart w:id="125" w:name="_Ref19086149"/>
      <w:bookmarkEnd w:id="125"/>
      <w:r>
        <w:rPr>
          <w:rFonts w:cs="Times New Roman"/>
        </w:rPr>
        <w:t xml:space="preserve">В локальных сметных расчетах построчные и итоговые суммы </w:t>
      </w:r>
      <w:r>
        <w:rPr>
          <w:rFonts w:cs="Times New Roman"/>
          <w:b/>
          <w:u w:val="single"/>
        </w:rPr>
        <w:t>округлять:</w:t>
      </w:r>
    </w:p>
    <w:p>
      <w:pPr>
        <w:pStyle w:val="Normal"/>
        <w:widowControl w:val="false"/>
        <w:numPr>
          <w:ilvl w:val="0"/>
          <w:numId w:val="20"/>
        </w:numPr>
        <w:tabs>
          <w:tab w:val="clear" w:pos="708"/>
          <w:tab w:val="left" w:pos="567" w:leader="none"/>
          <w:tab w:val="left" w:pos="851" w:leader="none"/>
          <w:tab w:val="left" w:pos="993" w:leader="none"/>
        </w:tabs>
        <w:spacing w:lineRule="auto" w:line="240" w:before="40" w:after="40"/>
        <w:ind w:left="1287" w:right="0" w:firstLine="709"/>
        <w:jc w:val="both"/>
        <w:rPr>
          <w:rFonts w:ascii="Times New Roman" w:hAnsi="Times New Roman" w:cs="Times New Roman"/>
        </w:rPr>
      </w:pPr>
      <w:bookmarkStart w:id="126" w:name="_Ref19086149_Копия_1"/>
      <w:bookmarkEnd w:id="126"/>
      <w:r>
        <w:rPr>
          <w:rFonts w:cs="Times New Roman"/>
        </w:rPr>
        <w:t xml:space="preserve">при ресурсно-индексном и ресурсным методах, а также в сметных расчетах на отдельные виды затрат - </w:t>
      </w:r>
      <w:r>
        <w:rPr>
          <w:rFonts w:cs="Times New Roman"/>
          <w:b/>
        </w:rPr>
        <w:t>в рублях</w:t>
      </w:r>
      <w:r>
        <w:rPr>
          <w:rFonts w:cs="Times New Roman"/>
        </w:rPr>
        <w:t xml:space="preserve"> </w:t>
      </w:r>
      <w:r>
        <w:rPr>
          <w:rFonts w:cs="Times New Roman"/>
          <w:b/>
        </w:rPr>
        <w:t>до целых единиц</w:t>
      </w:r>
      <w:r>
        <w:rPr>
          <w:rFonts w:cs="Times New Roman"/>
        </w:rPr>
        <w:t>;</w:t>
      </w:r>
    </w:p>
    <w:p>
      <w:pPr>
        <w:pStyle w:val="Normal"/>
        <w:widowControl w:val="false"/>
        <w:numPr>
          <w:ilvl w:val="0"/>
          <w:numId w:val="20"/>
        </w:numPr>
        <w:tabs>
          <w:tab w:val="clear" w:pos="708"/>
          <w:tab w:val="left" w:pos="567" w:leader="none"/>
          <w:tab w:val="left" w:pos="851" w:leader="none"/>
          <w:tab w:val="left" w:pos="993" w:leader="none"/>
        </w:tabs>
        <w:spacing w:lineRule="auto" w:line="240" w:before="40" w:after="40"/>
        <w:ind w:left="1287" w:right="0" w:firstLine="709"/>
        <w:jc w:val="both"/>
        <w:rPr>
          <w:rFonts w:ascii="Times New Roman" w:hAnsi="Times New Roman" w:cs="Times New Roman"/>
        </w:rPr>
      </w:pPr>
      <w:r>
        <w:rPr>
          <w:rFonts w:cs="Times New Roman"/>
        </w:rPr>
        <w:t xml:space="preserve">в объектных сметных расчетах (сметах), сводном сметном расчете стоимости строительства и сводке затрат - </w:t>
      </w:r>
      <w:r>
        <w:rPr>
          <w:rFonts w:cs="Times New Roman"/>
          <w:b/>
        </w:rPr>
        <w:t>рублях</w:t>
      </w:r>
      <w:r>
        <w:rPr>
          <w:rFonts w:cs="Times New Roman"/>
        </w:rPr>
        <w:t xml:space="preserve"> </w:t>
      </w:r>
      <w:r>
        <w:rPr>
          <w:rFonts w:cs="Times New Roman"/>
          <w:b/>
        </w:rPr>
        <w:t>до двух знаков</w:t>
      </w:r>
      <w:r>
        <w:rPr>
          <w:rFonts w:cs="Times New Roman"/>
        </w:rPr>
        <w:t xml:space="preserve"> после запятой. Величину НДС не указывать.</w:t>
      </w:r>
    </w:p>
    <w:p>
      <w:pPr>
        <w:pStyle w:val="Normal"/>
        <w:numPr>
          <w:ilvl w:val="0"/>
          <w:numId w:val="14"/>
        </w:numPr>
        <w:tabs>
          <w:tab w:val="clear" w:pos="708"/>
          <w:tab w:val="left" w:pos="567" w:leader="none"/>
          <w:tab w:val="left" w:pos="705" w:leader="none"/>
          <w:tab w:val="left" w:pos="993" w:leader="none"/>
          <w:tab w:val="left" w:pos="1272" w:leader="none"/>
        </w:tabs>
        <w:spacing w:lineRule="auto" w:line="240" w:before="40" w:after="40"/>
        <w:ind w:left="705" w:right="0" w:firstLine="709"/>
        <w:jc w:val="both"/>
        <w:rPr>
          <w:rFonts w:ascii="Times New Roman" w:hAnsi="Times New Roman" w:cs="Times New Roman"/>
        </w:rPr>
      </w:pPr>
      <w:r>
        <w:rPr>
          <w:rFonts w:cs="Times New Roman"/>
        </w:rPr>
        <w:t xml:space="preserve">Выходные формы сметных расчетов должны соответствовать Образцам по приложению 2 </w:t>
      </w:r>
      <w:r>
        <w:rPr>
          <w:rFonts w:cs="Times New Roman"/>
          <w:color w:val="000000"/>
        </w:rPr>
        <w:t>к Требованиям по оформлению и составлению сметной документации на выполнение строительно-монтажных работ по программе реконструкции и техническому перевооружению</w:t>
      </w:r>
      <w:r>
        <w:rPr>
          <w:rFonts w:cs="Times New Roman"/>
        </w:rPr>
        <w:t xml:space="preserve">. </w:t>
      </w:r>
    </w:p>
    <w:p>
      <w:pPr>
        <w:pStyle w:val="Normal"/>
        <w:numPr>
          <w:ilvl w:val="0"/>
          <w:numId w:val="14"/>
        </w:numPr>
        <w:tabs>
          <w:tab w:val="clear" w:pos="708"/>
          <w:tab w:val="left" w:pos="567" w:leader="none"/>
          <w:tab w:val="left" w:pos="705" w:leader="none"/>
          <w:tab w:val="left" w:pos="993" w:leader="none"/>
          <w:tab w:val="left" w:pos="1272" w:leader="none"/>
        </w:tabs>
        <w:spacing w:lineRule="auto" w:line="240" w:before="40" w:after="40"/>
        <w:ind w:left="705" w:right="0" w:firstLine="709"/>
        <w:jc w:val="both"/>
        <w:rPr>
          <w:rFonts w:ascii="Times New Roman" w:hAnsi="Times New Roman" w:cs="Times New Roman"/>
        </w:rPr>
      </w:pPr>
      <w:r>
        <w:rPr>
          <w:rFonts w:cs="Times New Roman"/>
        </w:rPr>
        <w:t>В случае предоставления Заказчиком услуг, указанных в Технических требованиях, договоре:</w:t>
      </w:r>
    </w:p>
    <w:p>
      <w:pPr>
        <w:pStyle w:val="Normal"/>
        <w:numPr>
          <w:ilvl w:val="0"/>
        </w:numPr>
        <w:tabs>
          <w:tab w:val="clear" w:pos="708"/>
          <w:tab w:val="left" w:pos="993" w:leader="none"/>
        </w:tabs>
        <w:spacing w:lineRule="auto" w:line="240" w:before="40" w:after="40"/>
        <w:ind w:left="1272" w:right="0" w:hanging="0"/>
        <w:jc w:val="both"/>
        <w:rPr>
          <w:rFonts w:ascii="Times New Roman" w:hAnsi="Times New Roman" w:cs="Times New Roman"/>
        </w:rPr>
      </w:pPr>
      <w:r>
        <w:rPr>
          <w:rFonts w:cs="Times New Roman"/>
        </w:rPr>
        <w:t>Из норм и расценок, внесенных в ФРСН, при составлении сметной документации исключать затраты:</w:t>
      </w:r>
    </w:p>
    <w:p>
      <w:pPr>
        <w:pStyle w:val="Normal"/>
        <w:numPr>
          <w:ilvl w:val="1"/>
          <w:numId w:val="14"/>
        </w:numPr>
        <w:tabs>
          <w:tab w:val="clear" w:pos="708"/>
          <w:tab w:val="left" w:pos="993" w:leader="none"/>
          <w:tab w:val="left" w:pos="1844" w:leader="none"/>
        </w:tabs>
        <w:spacing w:lineRule="auto" w:line="240" w:before="40" w:after="40"/>
        <w:ind w:left="1844" w:right="0" w:hanging="567"/>
        <w:contextualSpacing/>
        <w:jc w:val="both"/>
        <w:rPr>
          <w:rFonts w:ascii="Times New Roman" w:hAnsi="Times New Roman" w:cs="Times New Roman"/>
        </w:rPr>
      </w:pPr>
      <w:r>
        <w:rPr>
          <w:rFonts w:cs="Times New Roman"/>
        </w:rPr>
        <w:t>По предоставляемой электроэнергии (в том числе, в составе стоимости машино-часа):</w:t>
      </w:r>
    </w:p>
    <w:p>
      <w:pPr>
        <w:pStyle w:val="Normal"/>
        <w:numPr>
          <w:ilvl w:val="0"/>
          <w:numId w:val="21"/>
        </w:numPr>
        <w:spacing w:lineRule="auto" w:line="240" w:before="40" w:after="40"/>
        <w:contextualSpacing/>
        <w:jc w:val="both"/>
        <w:rPr>
          <w:rFonts w:ascii="Times New Roman" w:hAnsi="Times New Roman" w:cs="Times New Roman"/>
        </w:rPr>
      </w:pPr>
      <w:r>
        <w:rPr>
          <w:rFonts w:cs="Times New Roman"/>
        </w:rPr>
        <w:t>Из норм и расценок исключать стоимость электроэнергии.</w:t>
      </w:r>
    </w:p>
    <w:p>
      <w:pPr>
        <w:pStyle w:val="Normal"/>
        <w:numPr>
          <w:ilvl w:val="1"/>
          <w:numId w:val="14"/>
        </w:numPr>
        <w:tabs>
          <w:tab w:val="clear" w:pos="708"/>
          <w:tab w:val="left" w:pos="993" w:leader="none"/>
          <w:tab w:val="left" w:pos="1844" w:leader="none"/>
        </w:tabs>
        <w:spacing w:lineRule="auto" w:line="240" w:before="40" w:after="40"/>
        <w:ind w:left="1844" w:right="0" w:hanging="567"/>
        <w:contextualSpacing/>
        <w:jc w:val="both"/>
        <w:rPr>
          <w:rFonts w:ascii="Times New Roman" w:hAnsi="Times New Roman" w:cs="Times New Roman"/>
        </w:rPr>
      </w:pPr>
      <w:r>
        <w:rPr>
          <w:rFonts w:cs="Times New Roman"/>
        </w:rPr>
        <w:t>По предоставляемой воде:</w:t>
      </w:r>
    </w:p>
    <w:p>
      <w:pPr>
        <w:pStyle w:val="Normal"/>
        <w:numPr>
          <w:ilvl w:val="0"/>
          <w:numId w:val="22"/>
        </w:numPr>
        <w:tabs>
          <w:tab w:val="clear" w:pos="708"/>
          <w:tab w:val="left" w:pos="993" w:leader="none"/>
        </w:tabs>
        <w:spacing w:lineRule="auto" w:line="240" w:before="40" w:after="40"/>
        <w:contextualSpacing/>
        <w:jc w:val="both"/>
        <w:rPr>
          <w:rFonts w:ascii="Times New Roman" w:hAnsi="Times New Roman" w:cs="Times New Roman"/>
        </w:rPr>
      </w:pPr>
      <w:r>
        <w:rPr>
          <w:rFonts w:cs="Times New Roman"/>
        </w:rPr>
        <w:t>Из норм и расценок исключать стоимость воды.</w:t>
      </w:r>
    </w:p>
    <w:p>
      <w:pPr>
        <w:pStyle w:val="Normal"/>
        <w:numPr>
          <w:ilvl w:val="0"/>
          <w:numId w:val="14"/>
        </w:numPr>
        <w:tabs>
          <w:tab w:val="clear" w:pos="708"/>
          <w:tab w:val="left" w:pos="426" w:leader="none"/>
          <w:tab w:val="left" w:pos="705" w:leader="none"/>
          <w:tab w:val="left" w:pos="993" w:leader="none"/>
          <w:tab w:val="left" w:pos="1272" w:leader="none"/>
        </w:tabs>
        <w:spacing w:lineRule="auto" w:line="240" w:before="40" w:after="40"/>
        <w:ind w:left="705" w:right="0" w:firstLine="709"/>
        <w:jc w:val="both"/>
        <w:rPr>
          <w:rFonts w:ascii="Times New Roman" w:hAnsi="Times New Roman" w:cs="Times New Roman"/>
        </w:rPr>
      </w:pPr>
      <w:r>
        <w:rPr>
          <w:rFonts w:cs="Times New Roman"/>
        </w:rPr>
        <w:t>В сметных расчетах при исключении и добавлении ресурсов (материалов) необходимо данные ресурсы относить в отдельную позицию, не допускается изменение внутри расценки.</w:t>
      </w:r>
    </w:p>
    <w:p>
      <w:pPr>
        <w:pStyle w:val="Normal"/>
        <w:numPr>
          <w:ilvl w:val="0"/>
          <w:numId w:val="14"/>
        </w:numPr>
        <w:tabs>
          <w:tab w:val="clear" w:pos="708"/>
          <w:tab w:val="left" w:pos="426" w:leader="none"/>
          <w:tab w:val="left" w:pos="705" w:leader="none"/>
          <w:tab w:val="left" w:pos="993" w:leader="none"/>
          <w:tab w:val="left" w:pos="1272" w:leader="none"/>
        </w:tabs>
        <w:spacing w:lineRule="auto" w:line="240" w:before="40" w:after="40"/>
        <w:ind w:left="705" w:right="0" w:firstLine="709"/>
        <w:jc w:val="both"/>
        <w:rPr>
          <w:rFonts w:ascii="Times New Roman" w:hAnsi="Times New Roman" w:cs="Times New Roman"/>
        </w:rPr>
      </w:pPr>
      <w:r>
        <w:rPr>
          <w:rFonts w:cs="Times New Roman"/>
        </w:rPr>
        <w:t xml:space="preserve">ССРСС разрабатывается на объект строительства и (или) этап строительства на основании итоговых стоимостных показателей объектных и (или) локальных сметных расчетов (смет), а также сметных расчетов на отдельные виды затрат в текущем уровне цен. ССРСС составляется при наличии двух и более смет. Обязательными приложениями к ССРСС являются локальные сметы, подписанные инженером-сметчиком контрагента (субподрядчика), с обязательным указанием должности, наименования организации, Ф.И.О. подписанта. Наименование и нумерация глав сводного сметного расчета не подлежат корректировке вне зависимости от состава включаемых затрат. В случае отсутствия затрат, предусматриваемых соответствующей главой сводного сметного расчета, эта глава пропускается без изменения номеров последующих глав. Формат ССРСС выполнять по Образцу Приложения № 1.1 к </w:t>
      </w:r>
      <w:r>
        <w:rPr>
          <w:rFonts w:cs="Times New Roman"/>
          <w:color w:val="000000"/>
        </w:rPr>
        <w:t>Требованиям к оформлению и составлению сводного сметного расчёта к договорам на реконструкцию, техническое перевооружение и дополнительным соглашениям к указанным договорам по образцу</w:t>
      </w:r>
      <w:r>
        <w:rPr>
          <w:rFonts w:cs="Times New Roman"/>
        </w:rPr>
        <w:t>.</w:t>
      </w:r>
    </w:p>
    <w:p>
      <w:pPr>
        <w:pStyle w:val="Normal"/>
        <w:numPr>
          <w:ilvl w:val="0"/>
          <w:numId w:val="14"/>
        </w:numPr>
        <w:tabs>
          <w:tab w:val="clear" w:pos="708"/>
          <w:tab w:val="left" w:pos="426" w:leader="none"/>
          <w:tab w:val="left" w:pos="705" w:leader="none"/>
          <w:tab w:val="left" w:pos="993" w:leader="none"/>
          <w:tab w:val="left" w:pos="1272" w:leader="none"/>
        </w:tabs>
        <w:spacing w:lineRule="auto" w:line="240" w:before="40" w:after="40"/>
        <w:ind w:left="705" w:right="0" w:firstLine="709"/>
        <w:jc w:val="both"/>
        <w:rPr>
          <w:rFonts w:ascii="Times New Roman" w:hAnsi="Times New Roman" w:cs="Times New Roman"/>
        </w:rPr>
      </w:pPr>
      <w:r>
        <w:rPr>
          <w:rFonts w:cs="Times New Roman"/>
        </w:rPr>
        <w:t>Сметная документация должна быть представлена в двух вариантах:</w:t>
      </w:r>
    </w:p>
    <w:p>
      <w:pPr>
        <w:pStyle w:val="Normal"/>
        <w:numPr>
          <w:ilvl w:val="0"/>
          <w:numId w:val="23"/>
        </w:numPr>
        <w:tabs>
          <w:tab w:val="clear" w:pos="708"/>
          <w:tab w:val="left" w:pos="426" w:leader="none"/>
          <w:tab w:val="left" w:pos="993" w:leader="none"/>
        </w:tabs>
        <w:spacing w:lineRule="auto" w:line="240" w:before="40" w:after="40"/>
        <w:ind w:left="1211" w:right="0" w:firstLine="709"/>
        <w:jc w:val="both"/>
        <w:rPr>
          <w:rFonts w:ascii="Times New Roman" w:hAnsi="Times New Roman" w:cs="Times New Roman"/>
        </w:rPr>
      </w:pPr>
      <w:r>
        <w:rPr>
          <w:rFonts w:cs="Times New Roman"/>
        </w:rPr>
        <w:t>на бумажном носителе (количество указано в конкурсной документации).  Образец ЛСР в соответствии с приложением № 2 к Требованиям к оформлению и составлению сметной документации на работы по программе реконструкции и техническому перевооружению;</w:t>
      </w:r>
    </w:p>
    <w:p>
      <w:pPr>
        <w:pStyle w:val="Normal"/>
        <w:numPr>
          <w:ilvl w:val="0"/>
          <w:numId w:val="23"/>
        </w:numPr>
        <w:tabs>
          <w:tab w:val="clear" w:pos="708"/>
          <w:tab w:val="left" w:pos="426" w:leader="none"/>
          <w:tab w:val="left" w:pos="993" w:leader="none"/>
        </w:tabs>
        <w:spacing w:lineRule="auto" w:line="240" w:before="40" w:after="40"/>
        <w:ind w:left="1211" w:right="0" w:firstLine="709"/>
        <w:jc w:val="both"/>
        <w:rPr>
          <w:rFonts w:ascii="Times New Roman" w:hAnsi="Times New Roman" w:cs="Times New Roman"/>
        </w:rPr>
      </w:pPr>
      <w:r>
        <w:rPr>
          <w:rFonts w:cs="Times New Roman"/>
        </w:rPr>
        <w:t>на электронном носителе (в форматах «</w:t>
      </w:r>
      <w:r>
        <w:rPr>
          <w:rFonts w:cs="Times New Roman"/>
          <w:lang w:val="en-US"/>
        </w:rPr>
        <w:t>xml</w:t>
      </w:r>
      <w:r>
        <w:rPr>
          <w:rFonts w:cs="Times New Roman"/>
        </w:rPr>
        <w:t>»,</w:t>
      </w:r>
      <w:r>
        <w:rPr>
          <w:rFonts w:cs="Times New Roman"/>
          <w:color w:val="2E74B5"/>
        </w:rPr>
        <w:t xml:space="preserve"> </w:t>
      </w:r>
      <w:r>
        <w:rPr>
          <w:rFonts w:cs="Times New Roman"/>
        </w:rPr>
        <w:t>ПК «Гранд-Смета», «Excel», «</w:t>
      </w:r>
      <w:r>
        <w:rPr>
          <w:rFonts w:cs="Times New Roman"/>
          <w:lang w:val="en-US"/>
        </w:rPr>
        <w:t>pdf</w:t>
      </w:r>
      <w:r>
        <w:rPr>
          <w:rFonts w:cs="Times New Roman"/>
        </w:rPr>
        <w:t>»), полностью соответствующему бумажному варианту. Сметная документация в формате «Exce</w:t>
      </w:r>
      <w:r>
        <w:rPr>
          <w:rFonts w:cs="Times New Roman"/>
          <w:lang w:val="en-US"/>
        </w:rPr>
        <w:t>l</w:t>
      </w:r>
      <w:r>
        <w:rPr>
          <w:rFonts w:cs="Times New Roman"/>
        </w:rPr>
        <w:t>» должна быть представлена в одном файле с внесением ССРСС, ЛСР и других расчетов на отдельные листы (вкладки) документа.</w:t>
      </w:r>
    </w:p>
    <w:p>
      <w:pPr>
        <w:pStyle w:val="Normal"/>
        <w:numPr>
          <w:ilvl w:val="0"/>
          <w:numId w:val="23"/>
        </w:numPr>
        <w:tabs>
          <w:tab w:val="clear" w:pos="708"/>
          <w:tab w:val="left" w:pos="426" w:leader="none"/>
          <w:tab w:val="left" w:pos="993" w:leader="none"/>
        </w:tabs>
        <w:spacing w:lineRule="auto" w:line="240" w:before="40" w:after="40"/>
        <w:ind w:left="1211" w:right="0" w:firstLine="709"/>
        <w:jc w:val="both"/>
        <w:rPr>
          <w:rFonts w:ascii="Times New Roman" w:hAnsi="Times New Roman" w:cs="Times New Roman"/>
          <w:lang w:val="ru-RU" w:eastAsia="ru-RU"/>
        </w:rPr>
      </w:pPr>
      <w:r>
        <w:rPr>
          <w:rFonts w:cs="Times New Roman"/>
        </w:rPr>
        <w:t xml:space="preserve">в формате ПК «Гранд-смета» выходная форма для печати указана ниже: </w:t>
      </w:r>
    </w:p>
    <w:p>
      <w:pPr>
        <w:pStyle w:val="Normal"/>
        <w:numPr>
          <w:ilvl w:val="0"/>
        </w:numPr>
        <w:shd w:val="clear" w:fill="FFFFFF"/>
        <w:tabs>
          <w:tab w:val="clear" w:pos="708"/>
          <w:tab w:val="left" w:pos="900" w:leader="none"/>
        </w:tabs>
        <w:spacing w:lineRule="auto" w:line="240" w:before="0" w:after="0"/>
        <w:ind w:left="0" w:right="0" w:firstLine="360"/>
        <w:jc w:val="right"/>
        <w:rPr>
          <w:rFonts w:ascii="Times New Roman" w:hAnsi="Times New Roman" w:cs="Times New Roman"/>
          <w:lang w:val="ru-RU" w:eastAsia="ru-RU"/>
        </w:rPr>
      </w:pPr>
      <w:r>
        <w:rPr>
          <w:rFonts w:cs="Times New Roman"/>
          <w:lang w:val="ru-RU" w:eastAsia="ru-RU"/>
        </w:rPr>
      </w:r>
    </w:p>
    <w:p>
      <w:pPr>
        <w:pStyle w:val="Normal"/>
        <w:shd w:val="clear" w:fill="FFFFFF"/>
        <w:tabs>
          <w:tab w:val="clear" w:pos="708"/>
          <w:tab w:val="left" w:pos="900" w:leader="none"/>
        </w:tabs>
        <w:spacing w:lineRule="auto" w:line="240" w:before="0" w:after="0"/>
        <w:ind w:left="0" w:right="0" w:firstLine="360"/>
        <w:jc w:val="right"/>
        <w:rPr>
          <w:rFonts w:ascii="Times New Roman" w:hAnsi="Times New Roman" w:cs="Times New Roman"/>
          <w:lang w:val="ru-RU" w:eastAsia="ru-RU"/>
        </w:rPr>
      </w:pPr>
      <w:r>
        <w:rPr>
          <w:rFonts w:cs="Times New Roman"/>
          <w:lang w:val="ru-RU" w:eastAsia="ru-RU"/>
        </w:rPr>
      </w:r>
    </w:p>
    <w:p>
      <w:pPr>
        <w:pStyle w:val="Normal"/>
        <w:shd w:val="clear" w:fill="FFFFFF"/>
        <w:tabs>
          <w:tab w:val="clear" w:pos="708"/>
          <w:tab w:val="left" w:pos="900" w:leader="none"/>
        </w:tabs>
        <w:spacing w:lineRule="auto" w:line="240" w:before="0" w:after="0"/>
        <w:ind w:left="0" w:right="0" w:firstLine="360"/>
        <w:jc w:val="right"/>
        <w:rPr>
          <w:rFonts w:ascii="Times New Roman" w:hAnsi="Times New Roman" w:cs="Times New Roman"/>
          <w:lang w:val="ru-RU" w:eastAsia="ru-RU"/>
        </w:rPr>
      </w:pPr>
      <w:r>
        <w:rPr/>
        <w:drawing>
          <wp:inline distT="0" distB="0" distL="0" distR="0">
            <wp:extent cx="5980430" cy="3364230"/>
            <wp:effectExtent l="0" t="0" r="0" b="0"/>
            <wp:docPr id="3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-10" t="-17" r="-10" b="-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0430" cy="3364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>
      <w:pPr>
        <w:pStyle w:val="Normal"/>
        <w:spacing w:lineRule="auto" w:line="240" w:before="0" w:after="0"/>
        <w:ind w:left="5812" w:right="0" w:hanging="0"/>
        <w:rPr>
          <w:rFonts w:ascii="Times New Roman" w:hAnsi="Times New Roman" w:cs="Times New Roman"/>
          <w:lang w:val="ru-RU" w:eastAsia="ru-RU"/>
        </w:rPr>
      </w:pPr>
      <w:r>
        <w:rPr>
          <w:rFonts w:cs="Times New Roman"/>
          <w:color w:val="000000"/>
          <w:sz w:val="20"/>
          <w:szCs w:val="20"/>
        </w:rPr>
        <w:t xml:space="preserve">Приложение №1 </w:t>
      </w:r>
    </w:p>
    <w:p>
      <w:pPr>
        <w:pStyle w:val="Normal"/>
        <w:spacing w:lineRule="auto" w:line="240" w:before="0" w:after="0"/>
        <w:ind w:left="5811" w:right="0" w:hanging="0"/>
        <w:rPr>
          <w:rFonts w:ascii="Times New Roman" w:hAnsi="Times New Roman" w:cs="Times New Roman"/>
          <w:lang w:val="ru-RU" w:eastAsia="ru-RU"/>
        </w:rPr>
      </w:pPr>
      <w:r>
        <w:rPr>
          <w:rFonts w:cs="Times New Roman"/>
          <w:color w:val="000000"/>
          <w:sz w:val="20"/>
        </w:rPr>
        <w:t xml:space="preserve">к Требованиям к оформлению и составлению сметной документации </w:t>
      </w:r>
      <w:r>
        <w:rPr>
          <w:rFonts w:cs="Times New Roman"/>
          <w:color w:val="000000"/>
          <w:sz w:val="20"/>
          <w:szCs w:val="20"/>
        </w:rPr>
        <w:t>на выполнение строительно-монтажных работ</w:t>
      </w:r>
      <w:r>
        <w:rPr>
          <w:rFonts w:cs="Times New Roman"/>
          <w:color w:val="000000"/>
          <w:sz w:val="20"/>
        </w:rPr>
        <w:t xml:space="preserve"> по программе реконструкции и техническому перевооружению.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lang w:val="ru-RU" w:eastAsia="ru-RU"/>
        </w:rPr>
      </w:pPr>
      <w:r>
        <w:rPr>
          <w:rFonts w:cs="Times New Roman"/>
          <w:lang w:val="ru-RU"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lang w:val="ru-RU" w:eastAsia="ru-RU"/>
        </w:rPr>
      </w:pPr>
      <w:r>
        <w:rPr>
          <w:rFonts w:cs="Times New Roman"/>
          <w:lang w:val="ru-RU"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lang w:val="ru-RU" w:eastAsia="ru-RU"/>
        </w:rPr>
      </w:pPr>
      <w:r>
        <w:rPr>
          <w:rFonts w:cs="Times New Roman"/>
          <w:b/>
        </w:rPr>
        <w:t>Требования к оформлению и составлению сводного сметного расчета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lang w:val="ru-RU" w:eastAsia="ru-RU"/>
        </w:rPr>
      </w:pPr>
      <w:r>
        <w:rPr>
          <w:rFonts w:cs="Times New Roman"/>
          <w:b/>
        </w:rPr>
        <w:t xml:space="preserve"> </w:t>
      </w:r>
      <w:r>
        <w:rPr>
          <w:rFonts w:cs="Times New Roman"/>
          <w:b/>
        </w:rPr>
        <w:t>к договорам на реконструкцию, техническое перевооружение и дополнительным соглашениям к указанным договорам.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lang w:val="ru-RU" w:eastAsia="ru-RU"/>
        </w:rPr>
      </w:pPr>
      <w:r>
        <w:rPr>
          <w:rFonts w:cs="Times New Roman"/>
          <w:lang w:val="ru-RU" w:eastAsia="ru-RU"/>
        </w:rPr>
      </w:r>
    </w:p>
    <w:p>
      <w:pPr>
        <w:pStyle w:val="Normal"/>
        <w:numPr>
          <w:ilvl w:val="0"/>
          <w:numId w:val="24"/>
        </w:numPr>
        <w:tabs>
          <w:tab w:val="clear" w:pos="708"/>
          <w:tab w:val="left" w:pos="993" w:leader="none"/>
        </w:tabs>
        <w:spacing w:lineRule="auto" w:line="240" w:before="0" w:after="0"/>
        <w:ind w:left="0" w:right="0" w:firstLine="709"/>
        <w:jc w:val="both"/>
        <w:rPr>
          <w:rFonts w:ascii="Times New Roman" w:hAnsi="Times New Roman" w:cs="Times New Roman"/>
          <w:color w:val="000000"/>
          <w:szCs w:val="20"/>
        </w:rPr>
      </w:pPr>
      <w:r>
        <w:rPr>
          <w:rFonts w:cs="Times New Roman"/>
          <w:color w:val="000000"/>
          <w:szCs w:val="20"/>
        </w:rPr>
        <w:t xml:space="preserve">При наличии двух и более сметных расчетов составлять ССРСС в текущем уровне цен по форме Приложения </w:t>
      </w:r>
      <w:r>
        <w:rPr>
          <w:rFonts w:cs="Times New Roman"/>
          <w:color w:val="000000"/>
        </w:rPr>
        <w:t>№ 1.1 к Требованиям к оформлению и составлению сводного сметного расчёта к договорам  на реконструкцию, техническое перевооружение и дополнительным соглашениям к указанным договорам по образцу.</w:t>
      </w:r>
    </w:p>
    <w:p>
      <w:pPr>
        <w:pStyle w:val="Normal"/>
        <w:numPr>
          <w:ilvl w:val="0"/>
          <w:numId w:val="24"/>
        </w:numPr>
        <w:tabs>
          <w:tab w:val="clear" w:pos="708"/>
          <w:tab w:val="left" w:pos="993" w:leader="none"/>
        </w:tabs>
        <w:spacing w:lineRule="auto" w:line="240" w:before="0" w:after="0"/>
        <w:ind w:left="0" w:right="0" w:firstLine="709"/>
        <w:jc w:val="both"/>
        <w:rPr>
          <w:rFonts w:ascii="Times New Roman" w:hAnsi="Times New Roman" w:cs="Times New Roman"/>
          <w:color w:val="000000"/>
          <w:szCs w:val="20"/>
        </w:rPr>
      </w:pPr>
      <w:r>
        <w:rPr>
          <w:rFonts w:cs="Times New Roman"/>
          <w:color w:val="000000"/>
          <w:szCs w:val="20"/>
        </w:rPr>
        <w:t xml:space="preserve">В случае заключений дополнительных соглашений к договору (далее - д/с), ССРСС необходимо выполнять в накопительной форме с учетом </w:t>
      </w:r>
      <w:r>
        <w:rPr>
          <w:rFonts w:cs="Times New Roman"/>
          <w:color w:val="000000"/>
        </w:rPr>
        <w:t>ЛСР (</w:t>
      </w:r>
      <w:r>
        <w:rPr>
          <w:rFonts w:cs="Times New Roman"/>
          <w:color w:val="000000"/>
          <w:szCs w:val="20"/>
        </w:rPr>
        <w:t xml:space="preserve">ЛС) к основному договору и ко всем заключенным д/с к нему. В итогах ССРСС (справочно) указывать суммы изменения (уменьшения, увеличения) основного договора на основании заключения д/с, которые определяются как разница между суммой ССРСС очередного д/с и стоимостью основного договора. Форма ССРСС с учетом заключения д/с к договору приведена в Приложении </w:t>
      </w:r>
      <w:r>
        <w:rPr>
          <w:rFonts w:cs="Times New Roman"/>
          <w:color w:val="000000"/>
        </w:rPr>
        <w:t xml:space="preserve">№ 1.2 к Требованиям к оформлению и составлению сводного сметного расчёта к договорам на реконструкцию, техническое перевооружение и дополнительным соглашениям к указанным договорам. </w:t>
      </w:r>
    </w:p>
    <w:p>
      <w:pPr>
        <w:pStyle w:val="Normal"/>
        <w:numPr>
          <w:ilvl w:val="0"/>
          <w:numId w:val="24"/>
        </w:numPr>
        <w:tabs>
          <w:tab w:val="clear" w:pos="708"/>
          <w:tab w:val="left" w:pos="993" w:leader="none"/>
        </w:tabs>
        <w:spacing w:lineRule="auto" w:line="240" w:before="0" w:after="0"/>
        <w:ind w:left="0" w:right="0" w:firstLine="709"/>
        <w:jc w:val="both"/>
        <w:rPr>
          <w:rFonts w:ascii="Times New Roman" w:hAnsi="Times New Roman" w:cs="Times New Roman"/>
          <w:color w:val="000000"/>
          <w:szCs w:val="20"/>
        </w:rPr>
      </w:pPr>
      <w:r>
        <w:rPr>
          <w:rFonts w:cs="Times New Roman"/>
          <w:color w:val="000000"/>
          <w:szCs w:val="20"/>
        </w:rPr>
        <w:t xml:space="preserve">ЛСР (ЛС) разрабатываются отдельно на исключаемые и дополнительные объемы работ. К сметной документации дополнительно прилагаются и являются ее неотъемлемой частью сопоставительные ведомости изменения сметной стоимости и сопоставительные ведомости изменения объемов работ, подготовленные в соответствии с Образцом по Приложениям №№ 1.3 и 1.4 </w:t>
      </w:r>
      <w:r>
        <w:rPr>
          <w:rFonts w:cs="Times New Roman"/>
          <w:color w:val="000000"/>
        </w:rPr>
        <w:t xml:space="preserve">к Требованиям </w:t>
      </w:r>
      <w:r>
        <w:rPr>
          <w:rFonts w:cs="Times New Roman"/>
          <w:color w:val="000000"/>
          <w:szCs w:val="20"/>
        </w:rPr>
        <w:t xml:space="preserve">к оформлению и составлению </w:t>
      </w:r>
      <w:r>
        <w:rPr>
          <w:rFonts w:cs="Times New Roman"/>
          <w:color w:val="000000"/>
        </w:rPr>
        <w:t xml:space="preserve">сводного сметного расчёта к договорам на реконструкцию, техническое перевооружение и дополнительным соглашениям к указанным договорам. </w:t>
      </w:r>
    </w:p>
    <w:p>
      <w:pPr>
        <w:pStyle w:val="Normal"/>
        <w:numPr>
          <w:ilvl w:val="0"/>
          <w:numId w:val="24"/>
        </w:numPr>
        <w:tabs>
          <w:tab w:val="clear" w:pos="708"/>
          <w:tab w:val="left" w:pos="993" w:leader="none"/>
        </w:tabs>
        <w:spacing w:lineRule="auto" w:line="240" w:before="0" w:after="0"/>
        <w:ind w:left="0" w:right="0" w:firstLine="709"/>
        <w:jc w:val="both"/>
        <w:rPr>
          <w:rFonts w:ascii="Times New Roman" w:hAnsi="Times New Roman" w:cs="Times New Roman"/>
          <w:color w:val="000000"/>
          <w:szCs w:val="20"/>
        </w:rPr>
      </w:pPr>
      <w:r>
        <w:rPr>
          <w:rFonts w:cs="Times New Roman"/>
          <w:color w:val="000000"/>
          <w:szCs w:val="20"/>
        </w:rPr>
        <w:t>ЛС являются приложениями к ССРСС. Нумерация приложений указывается по мере включения ЛС в ССР в накопительной форме - по порядку.</w:t>
      </w:r>
    </w:p>
    <w:p>
      <w:pPr>
        <w:pStyle w:val="Normal"/>
        <w:numPr>
          <w:ilvl w:val="0"/>
          <w:numId w:val="24"/>
        </w:numPr>
        <w:tabs>
          <w:tab w:val="clear" w:pos="708"/>
          <w:tab w:val="left" w:pos="993" w:leader="none"/>
        </w:tabs>
        <w:spacing w:lineRule="auto" w:line="240" w:before="0" w:after="0"/>
        <w:ind w:left="0" w:right="0" w:firstLine="709"/>
        <w:jc w:val="both"/>
        <w:rPr>
          <w:rFonts w:ascii="Times New Roman" w:hAnsi="Times New Roman" w:cs="Times New Roman"/>
          <w:color w:val="000000"/>
          <w:szCs w:val="20"/>
        </w:rPr>
      </w:pPr>
      <w:r>
        <w:rPr>
          <w:rFonts w:cs="Times New Roman"/>
          <w:color w:val="000000"/>
          <w:szCs w:val="20"/>
        </w:rPr>
        <w:t>Разнесение затрат (сумм ЛС) по графам и главам ССРСС осуществлять в соответствии с указаниями Методики определения сметной стоимости строительства.</w:t>
      </w:r>
    </w:p>
    <w:p>
      <w:pPr>
        <w:sectPr>
          <w:headerReference w:type="default" r:id="rId10"/>
          <w:headerReference w:type="first" r:id="rId11"/>
          <w:type w:val="nextPage"/>
          <w:pgSz w:w="11906" w:h="16838"/>
          <w:pgMar w:left="1276" w:right="707" w:gutter="0" w:header="709" w:top="766" w:footer="0" w:bottom="426"/>
          <w:pgNumType w:fmt="decimal"/>
          <w:formProt w:val="false"/>
          <w:textDirection w:val="lrTb"/>
          <w:docGrid w:type="default" w:linePitch="360" w:charSpace="0"/>
        </w:sectPr>
        <w:pStyle w:val="Normal"/>
        <w:numPr>
          <w:ilvl w:val="0"/>
          <w:numId w:val="24"/>
        </w:numPr>
        <w:tabs>
          <w:tab w:val="clear" w:pos="708"/>
          <w:tab w:val="left" w:pos="993" w:leader="none"/>
        </w:tabs>
        <w:spacing w:lineRule="auto" w:line="240" w:before="0" w:after="0"/>
        <w:ind w:left="0" w:righ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Cs w:val="20"/>
        </w:rPr>
        <w:t xml:space="preserve">В ССРСС, построчные и итоговые суммы </w:t>
      </w:r>
      <w:r>
        <w:rPr>
          <w:rFonts w:cs="Times New Roman"/>
          <w:color w:val="000000"/>
        </w:rPr>
        <w:t xml:space="preserve">указывать </w:t>
      </w:r>
      <w:r>
        <w:rPr>
          <w:rFonts w:cs="Times New Roman"/>
          <w:color w:val="000000"/>
          <w:szCs w:val="20"/>
        </w:rPr>
        <w:t>в рублях с округлением до двух знаков после запятой. Величину НДС не указывать.</w:t>
      </w:r>
    </w:p>
    <w:p>
      <w:pPr>
        <w:pStyle w:val="Normal"/>
        <w:widowControl w:val="false"/>
        <w:spacing w:lineRule="auto" w:line="240" w:before="0" w:after="0"/>
        <w:ind w:left="0" w:right="0" w:firstLine="72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ind w:left="0" w:right="0" w:firstLine="72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sz w:val="20"/>
          <w:szCs w:val="20"/>
        </w:rPr>
        <w:t xml:space="preserve">                                                                                                  </w:t>
      </w:r>
    </w:p>
    <w:p>
      <w:pPr>
        <w:pStyle w:val="Normal"/>
        <w:widowControl w:val="false"/>
        <w:spacing w:lineRule="auto" w:line="240" w:before="0" w:after="0"/>
        <w:ind w:left="57" w:right="0" w:firstLine="72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sz w:val="20"/>
          <w:szCs w:val="20"/>
        </w:rPr>
        <w:t xml:space="preserve">                                                                                                   </w:t>
      </w:r>
      <w:r>
        <w:rPr>
          <w:rFonts w:cs="Times New Roman"/>
          <w:sz w:val="20"/>
          <w:szCs w:val="20"/>
        </w:rPr>
        <w:t>Приложение № 1.1</w:t>
      </w:r>
    </w:p>
    <w:p>
      <w:pPr>
        <w:pStyle w:val="Normal"/>
        <w:widowControl w:val="false"/>
        <w:spacing w:lineRule="auto" w:line="240" w:before="0" w:after="0"/>
        <w:ind w:left="57" w:right="0" w:firstLine="72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b/>
        </w:rPr>
        <w:t xml:space="preserve">ОБРАЗЕЦ </w:t>
      </w:r>
      <w:r>
        <w:rPr>
          <w:rFonts w:cs="Times New Roman"/>
          <w:sz w:val="20"/>
          <w:szCs w:val="20"/>
        </w:rPr>
        <w:t xml:space="preserve">                                                                                            </w:t>
      </w:r>
    </w:p>
    <w:p>
      <w:pPr>
        <w:pStyle w:val="Normal"/>
        <w:widowControl w:val="false"/>
        <w:spacing w:lineRule="auto" w:line="240" w:before="0" w:after="0"/>
        <w:ind w:left="5811" w:right="0" w:hanging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sz w:val="20"/>
          <w:szCs w:val="20"/>
        </w:rPr>
        <w:t xml:space="preserve">к Требованиям </w:t>
      </w:r>
      <w:r>
        <w:rPr>
          <w:rFonts w:cs="Times New Roman"/>
          <w:color w:val="000000"/>
        </w:rPr>
        <w:t xml:space="preserve">к </w:t>
      </w:r>
      <w:r>
        <w:rPr>
          <w:rFonts w:cs="Times New Roman"/>
          <w:sz w:val="20"/>
          <w:szCs w:val="20"/>
        </w:rPr>
        <w:t xml:space="preserve">оформлению и составлению сводного сметного расчёта к договорам на реконструкцию, техническое перевооружение и дополнительным соглашениям к указанным договорам </w:t>
      </w:r>
    </w:p>
    <w:p>
      <w:pPr>
        <w:pStyle w:val="Normal"/>
        <w:widowControl w:val="false"/>
        <w:spacing w:lineRule="auto" w:line="240" w:before="0" w:after="0"/>
        <w:ind w:left="5811" w:right="0" w:firstLine="72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sz w:val="20"/>
          <w:szCs w:val="20"/>
        </w:rPr>
        <w:t xml:space="preserve">                                                                                                     </w:t>
      </w:r>
      <w:r>
        <w:rPr>
          <w:rFonts w:cs="Times New Roman"/>
          <w:sz w:val="20"/>
          <w:szCs w:val="20"/>
        </w:rPr>
        <w:t xml:space="preserve">Приложение №___                                                                                    к договору от_______№_____ </w:t>
      </w:r>
      <w:r>
        <w:rPr>
          <w:rFonts w:cs="Times New Roman"/>
          <w:sz w:val="20"/>
          <w:szCs w:val="20"/>
          <w:lang w:val="en-US"/>
        </w:rPr>
        <w:t xml:space="preserve"> </w:t>
      </w:r>
    </w:p>
    <w:p>
      <w:pPr>
        <w:pStyle w:val="Normal"/>
        <w:widowControl w:val="false"/>
        <w:spacing w:lineRule="auto" w:line="240" w:before="0" w:after="0"/>
        <w:ind w:left="0" w:right="0" w:firstLine="72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sz w:val="20"/>
          <w:szCs w:val="20"/>
        </w:rPr>
        <w:t xml:space="preserve"> </w:t>
      </w:r>
    </w:p>
    <w:p>
      <w:pPr>
        <w:pStyle w:val="Normal"/>
        <w:widowControl w:val="false"/>
        <w:spacing w:lineRule="auto" w:line="240" w:before="0" w:after="0"/>
        <w:ind w:left="0" w:right="0" w:firstLine="72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tbl>
      <w:tblPr>
        <w:tblW w:w="10915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464"/>
        <w:gridCol w:w="7450"/>
      </w:tblGrid>
      <w:tr>
        <w:trPr>
          <w:trHeight w:val="1158" w:hRule="atLeast"/>
        </w:trPr>
        <w:tc>
          <w:tcPr>
            <w:tcW w:w="346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283" w:right="0" w:hanging="0"/>
              <w:rPr/>
            </w:pPr>
            <w:r>
              <w:rPr>
                <w:rFonts w:cs="Times New Roman"/>
                <w:b/>
                <w:sz w:val="20"/>
                <w:szCs w:val="20"/>
              </w:rPr>
              <w:t>СОГЛАСОВАНО</w:t>
            </w:r>
            <w:r>
              <w:rPr>
                <w:rFonts w:cs="Times New Roman"/>
                <w:sz w:val="20"/>
                <w:szCs w:val="20"/>
              </w:rPr>
              <w:t>:</w:t>
            </w:r>
          </w:p>
          <w:p>
            <w:pPr>
              <w:pStyle w:val="Normal"/>
              <w:widowControl w:val="false"/>
              <w:spacing w:lineRule="auto" w:line="240" w:before="0" w:after="0"/>
              <w:ind w:left="0" w:right="-909" w:hanging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______________(Подрядчик )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_______________(ФИО)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left="142" w:right="0" w:hanging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Заказчик:______________________</w:t>
            </w:r>
          </w:p>
        </w:tc>
        <w:tc>
          <w:tcPr>
            <w:tcW w:w="745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0" w:right="-3855" w:firstLine="7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УТВЕРЖДАЮ:</w:t>
            </w:r>
          </w:p>
          <w:p>
            <w:pPr>
              <w:pStyle w:val="Normal"/>
              <w:widowControl w:val="false"/>
              <w:spacing w:lineRule="auto" w:line="240" w:before="0" w:after="0"/>
              <w:ind w:left="0" w:right="-909" w:hanging="0"/>
              <w:rPr/>
            </w:pPr>
            <w:r>
              <w:rPr>
                <w:rFonts w:cs="Times New Roman"/>
                <w:b/>
                <w:sz w:val="20"/>
                <w:szCs w:val="20"/>
              </w:rPr>
              <w:t xml:space="preserve">                                                              </w:t>
            </w:r>
            <w:r>
              <w:rPr>
                <w:rFonts w:cs="Times New Roman"/>
                <w:b/>
                <w:szCs w:val="20"/>
              </w:rPr>
              <w:t xml:space="preserve">                             </w:t>
            </w:r>
            <w:r>
              <w:rPr>
                <w:rFonts w:cs="Times New Roman"/>
                <w:szCs w:val="20"/>
              </w:rPr>
              <w:t>_____________(Заказчик )</w:t>
            </w:r>
          </w:p>
          <w:p>
            <w:pPr>
              <w:pStyle w:val="Normal"/>
              <w:widowControl w:val="false"/>
              <w:spacing w:lineRule="auto" w:line="240" w:before="0" w:after="0"/>
              <w:ind w:left="2551" w:right="0" w:firstLine="720"/>
              <w:jc w:val="center"/>
              <w:rPr/>
            </w:pPr>
            <w:r>
              <w:rPr>
                <w:rFonts w:cs="Times New Roman"/>
                <w:szCs w:val="20"/>
              </w:rPr>
              <w:t xml:space="preserve">                  </w:t>
            </w:r>
            <w:r>
              <w:rPr>
                <w:rFonts w:cs="Times New Roman"/>
                <w:szCs w:val="20"/>
              </w:rPr>
              <w:t>______________(</w:t>
            </w:r>
            <w:r>
              <w:rPr>
                <w:rFonts w:cs="Times New Roman"/>
                <w:sz w:val="20"/>
                <w:szCs w:val="20"/>
              </w:rPr>
              <w:t>ФИО)</w:t>
            </w:r>
          </w:p>
        </w:tc>
      </w:tr>
      <w:tr>
        <w:trPr/>
        <w:tc>
          <w:tcPr>
            <w:tcW w:w="346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(наименование организации)</w:t>
            </w:r>
          </w:p>
        </w:tc>
        <w:tc>
          <w:tcPr>
            <w:tcW w:w="7450" w:type="dxa"/>
            <w:tcBorders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</w:tr>
      <w:tr>
        <w:trPr/>
        <w:tc>
          <w:tcPr>
            <w:tcW w:w="10914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Утвержден: __ ______________202__ г.</w:t>
            </w:r>
          </w:p>
        </w:tc>
      </w:tr>
    </w:tbl>
    <w:p>
      <w:pPr>
        <w:pStyle w:val="Normal"/>
        <w:widowControl w:val="false"/>
        <w:spacing w:lineRule="auto" w:line="240" w:before="0" w:after="0"/>
        <w:ind w:left="0" w:right="0" w:firstLine="72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tbl>
      <w:tblPr>
        <w:tblW w:w="10977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215"/>
        <w:gridCol w:w="2664"/>
        <w:gridCol w:w="3098"/>
      </w:tblGrid>
      <w:tr>
        <w:trPr/>
        <w:tc>
          <w:tcPr>
            <w:tcW w:w="5215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Сводный сметный расчет сметной стоимостью</w:t>
            </w:r>
          </w:p>
        </w:tc>
        <w:tc>
          <w:tcPr>
            <w:tcW w:w="2664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3098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руб.</w:t>
            </w:r>
          </w:p>
        </w:tc>
      </w:tr>
      <w:tr>
        <w:trPr/>
        <w:tc>
          <w:tcPr>
            <w:tcW w:w="10977" w:type="dxa"/>
            <w:gridSpan w:val="3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</w:tr>
      <w:tr>
        <w:trPr/>
        <w:tc>
          <w:tcPr>
            <w:tcW w:w="10977" w:type="dxa"/>
            <w:gridSpan w:val="3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(ссылка на документ об утверждении)</w:t>
            </w:r>
          </w:p>
        </w:tc>
      </w:tr>
      <w:tr>
        <w:trPr/>
        <w:tc>
          <w:tcPr>
            <w:tcW w:w="10977" w:type="dxa"/>
            <w:gridSpan w:val="3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СВОДНЫЙ СМЕТНЫЙ РАСЧЕТ</w:t>
            </w:r>
          </w:p>
          <w:p>
            <w:pPr>
              <w:pStyle w:val="Normal"/>
              <w:widowControl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N ССРСС-________</w:t>
            </w:r>
          </w:p>
        </w:tc>
      </w:tr>
      <w:tr>
        <w:trPr>
          <w:trHeight w:val="23" w:hRule="atLeast"/>
        </w:trPr>
        <w:tc>
          <w:tcPr>
            <w:tcW w:w="10977" w:type="dxa"/>
            <w:gridSpan w:val="3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</w:tr>
      <w:tr>
        <w:trPr/>
        <w:tc>
          <w:tcPr>
            <w:tcW w:w="10977" w:type="dxa"/>
            <w:gridSpan w:val="3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(наименование стройки)</w:t>
            </w:r>
          </w:p>
        </w:tc>
      </w:tr>
      <w:tr>
        <w:trPr/>
        <w:tc>
          <w:tcPr>
            <w:tcW w:w="10977" w:type="dxa"/>
            <w:gridSpan w:val="3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Составлен в текущих ценах, соответствующих периоду выполнения работ по Договору_________________ 20__ г.</w:t>
            </w:r>
          </w:p>
        </w:tc>
      </w:tr>
    </w:tbl>
    <w:p>
      <w:pPr>
        <w:pStyle w:val="Normal"/>
        <w:widowControl w:val="false"/>
        <w:spacing w:lineRule="auto" w:line="240" w:before="0" w:after="0"/>
        <w:ind w:left="0" w:right="0" w:firstLine="72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tbl>
      <w:tblPr>
        <w:tblW w:w="10982" w:type="dxa"/>
        <w:jc w:val="left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633"/>
        <w:gridCol w:w="994"/>
        <w:gridCol w:w="282"/>
        <w:gridCol w:w="1271"/>
        <w:gridCol w:w="363"/>
        <w:gridCol w:w="1343"/>
        <w:gridCol w:w="425"/>
        <w:gridCol w:w="1137"/>
        <w:gridCol w:w="1558"/>
        <w:gridCol w:w="1426"/>
        <w:gridCol w:w="1548"/>
      </w:tblGrid>
      <w:tr>
        <w:trPr>
          <w:trHeight w:val="212" w:hRule="atLeast"/>
        </w:trPr>
        <w:tc>
          <w:tcPr>
            <w:tcW w:w="6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Nп/п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Обоснование</w:t>
            </w:r>
          </w:p>
        </w:tc>
        <w:tc>
          <w:tcPr>
            <w:tcW w:w="155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0" w:right="0" w:hanging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78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Сметная стоимость, руб.</w:t>
            </w:r>
          </w:p>
        </w:tc>
      </w:tr>
      <w:tr>
        <w:trPr>
          <w:trHeight w:val="1019" w:hRule="atLeast"/>
        </w:trPr>
        <w:tc>
          <w:tcPr>
            <w:tcW w:w="6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9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553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0" w:right="0" w:hanging="6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строительных (ремонтно-строительных, ремонтно-реставрационных) работ</w:t>
            </w:r>
          </w:p>
        </w:tc>
        <w:tc>
          <w:tcPr>
            <w:tcW w:w="1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191" w:right="0" w:hanging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0" w:right="0" w:hanging="8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оборудования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13" w:right="0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прочих затрат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всего</w:t>
            </w:r>
          </w:p>
        </w:tc>
      </w:tr>
      <w:tr>
        <w:trPr>
          <w:trHeight w:val="273" w:hRule="atLeast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7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11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left="0" w:right="0" w:firstLine="7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</w:t>
            </w:r>
          </w:p>
        </w:tc>
        <w:tc>
          <w:tcPr>
            <w:tcW w:w="1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left="0" w:right="0" w:firstLine="7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left="0" w:right="0" w:firstLine="7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</w:t>
            </w:r>
          </w:p>
        </w:tc>
        <w:tc>
          <w:tcPr>
            <w:tcW w:w="1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left="0" w:right="0" w:firstLine="7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left="0" w:right="0" w:firstLine="7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left="0" w:right="0" w:firstLine="7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left="0" w:right="0" w:firstLine="7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1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1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</w:tr>
      <w:tr>
        <w:trPr/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1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1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</w:tr>
      <w:tr>
        <w:trPr>
          <w:trHeight w:val="327" w:hRule="atLeast"/>
        </w:trPr>
        <w:tc>
          <w:tcPr>
            <w:tcW w:w="35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  <w:tab w:val="left" w:pos="2091" w:leader="none"/>
              </w:tabs>
              <w:spacing w:lineRule="auto" w:line="240" w:before="0" w:after="0"/>
              <w:ind w:left="170" w:right="0" w:hanging="425"/>
              <w:rPr/>
            </w:pPr>
            <w:r>
              <w:rPr>
                <w:rFonts w:cs="Times New Roman"/>
                <w:sz w:val="18"/>
                <w:szCs w:val="18"/>
              </w:rPr>
              <w:t xml:space="preserve">     </w:t>
            </w:r>
            <w:r>
              <w:rPr>
                <w:rFonts w:cs="Times New Roman"/>
                <w:sz w:val="18"/>
                <w:szCs w:val="18"/>
              </w:rPr>
              <w:t>Руководитель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851" w:leader="none"/>
              </w:tabs>
              <w:spacing w:lineRule="auto" w:line="240" w:before="0" w:after="0"/>
              <w:ind w:left="170" w:right="0" w:hanging="14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проектной организации</w:t>
            </w:r>
          </w:p>
        </w:tc>
        <w:tc>
          <w:tcPr>
            <w:tcW w:w="743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</w:tr>
      <w:tr>
        <w:trPr/>
        <w:tc>
          <w:tcPr>
            <w:tcW w:w="35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743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[подпись (инициалы, фамилия)]</w:t>
            </w:r>
          </w:p>
        </w:tc>
      </w:tr>
      <w:tr>
        <w:trPr/>
        <w:tc>
          <w:tcPr>
            <w:tcW w:w="35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Главный инженер проекта</w:t>
            </w:r>
          </w:p>
        </w:tc>
        <w:tc>
          <w:tcPr>
            <w:tcW w:w="743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</w:tr>
      <w:tr>
        <w:trPr/>
        <w:tc>
          <w:tcPr>
            <w:tcW w:w="19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907" w:right="0" w:firstLine="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Начальник</w:t>
            </w:r>
          </w:p>
        </w:tc>
        <w:tc>
          <w:tcPr>
            <w:tcW w:w="1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7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0" w:right="0" w:hanging="6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отдела</w:t>
            </w:r>
          </w:p>
        </w:tc>
        <w:tc>
          <w:tcPr>
            <w:tcW w:w="56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</w:tr>
      <w:tr>
        <w:trPr/>
        <w:tc>
          <w:tcPr>
            <w:tcW w:w="19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0" w:right="0" w:hanging="19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(наименование)</w:t>
            </w:r>
          </w:p>
        </w:tc>
        <w:tc>
          <w:tcPr>
            <w:tcW w:w="17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56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7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[подпись (инициалы, фамилия)]</w:t>
            </w:r>
          </w:p>
        </w:tc>
      </w:tr>
      <w:tr>
        <w:trPr/>
        <w:tc>
          <w:tcPr>
            <w:tcW w:w="19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284" w:right="0" w:firstLine="28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Заказчик</w:t>
            </w:r>
          </w:p>
        </w:tc>
        <w:tc>
          <w:tcPr>
            <w:tcW w:w="90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[подпись (инициалы, фамилия)]</w:t>
            </w:r>
          </w:p>
        </w:tc>
      </w:tr>
    </w:tbl>
    <w:p>
      <w:pPr>
        <w:pStyle w:val="Normal"/>
        <w:spacing w:lineRule="auto" w:line="240" w:before="0" w:after="0"/>
        <w:ind w:left="357" w:right="0" w:hanging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ind w:left="357" w:right="0" w:hanging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ind w:left="397" w:right="0" w:hanging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ind w:left="397" w:right="0" w:hanging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ind w:left="397" w:right="0" w:hanging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ind w:left="397" w:right="0" w:hanging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ind w:left="397" w:right="0" w:hanging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b/>
        </w:rPr>
        <w:t>ОБРАЗЕЦ</w:t>
      </w:r>
      <w:r>
        <w:rPr>
          <w:rFonts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pStyle w:val="Normal"/>
        <w:spacing w:lineRule="auto" w:line="240" w:before="0" w:after="0"/>
        <w:ind w:left="8646" w:right="0" w:hanging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ind w:left="8646" w:right="0" w:hanging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ind w:left="8646" w:right="0" w:hanging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ind w:left="8646" w:right="0" w:hanging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</w:rPr>
        <w:t xml:space="preserve"> </w:t>
      </w:r>
      <w:r>
        <w:rPr>
          <w:rFonts w:cs="Times New Roman"/>
          <w:sz w:val="20"/>
          <w:szCs w:val="20"/>
        </w:rPr>
        <w:t xml:space="preserve">Приложение №1.2 </w:t>
      </w:r>
    </w:p>
    <w:p>
      <w:pPr>
        <w:pStyle w:val="Normal"/>
        <w:widowControl w:val="false"/>
        <w:spacing w:lineRule="auto" w:line="240" w:before="0" w:after="0"/>
        <w:ind w:left="5811" w:right="0" w:hanging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sz w:val="20"/>
          <w:szCs w:val="20"/>
        </w:rPr>
        <w:t xml:space="preserve">к Требованиям </w:t>
      </w:r>
      <w:r>
        <w:rPr>
          <w:rFonts w:cs="Times New Roman"/>
          <w:color w:val="000000"/>
        </w:rPr>
        <w:t xml:space="preserve">к </w:t>
      </w:r>
      <w:r>
        <w:rPr>
          <w:rFonts w:cs="Times New Roman"/>
          <w:sz w:val="20"/>
          <w:szCs w:val="20"/>
        </w:rPr>
        <w:t xml:space="preserve">оформлению и составлению сводного сметного расчёта к договорам на реконструкцию, техническое перевооружение и дополнительным соглашениям к указанным договорам </w:t>
      </w:r>
    </w:p>
    <w:p>
      <w:pPr>
        <w:pStyle w:val="Normal"/>
        <w:widowControl w:val="false"/>
        <w:spacing w:lineRule="auto" w:line="240" w:before="0" w:after="0"/>
        <w:ind w:left="5811" w:right="0" w:firstLine="72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ind w:left="5811" w:right="0" w:firstLine="72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ind w:left="0" w:right="0" w:firstLine="72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6804" w:leader="none"/>
        </w:tabs>
        <w:spacing w:lineRule="auto" w:line="240" w:before="0" w:after="0"/>
        <w:ind w:left="5811" w:right="0" w:firstLine="72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sz w:val="20"/>
          <w:szCs w:val="20"/>
        </w:rPr>
        <w:t xml:space="preserve">                       </w:t>
      </w:r>
      <w:r>
        <w:rPr>
          <w:rFonts w:cs="Times New Roman"/>
          <w:sz w:val="20"/>
          <w:szCs w:val="20"/>
        </w:rPr>
        <w:t>Приложение №___</w:t>
      </w:r>
    </w:p>
    <w:p>
      <w:pPr>
        <w:pStyle w:val="Normal"/>
        <w:widowControl w:val="false"/>
        <w:tabs>
          <w:tab w:val="clear" w:pos="708"/>
          <w:tab w:val="left" w:pos="6946" w:leader="none"/>
        </w:tabs>
        <w:spacing w:lineRule="auto" w:line="240" w:before="0" w:after="0"/>
        <w:ind w:left="5811" w:right="0" w:firstLine="72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sz w:val="20"/>
          <w:szCs w:val="20"/>
        </w:rPr>
        <w:t xml:space="preserve">                         </w:t>
      </w:r>
      <w:r>
        <w:rPr>
          <w:rFonts w:cs="Times New Roman"/>
          <w:sz w:val="20"/>
          <w:szCs w:val="20"/>
        </w:rPr>
        <w:t>к дополнительному соглашению от ___ № ___</w:t>
      </w:r>
    </w:p>
    <w:p>
      <w:pPr>
        <w:pStyle w:val="Normal"/>
        <w:widowControl w:val="false"/>
        <w:spacing w:lineRule="auto" w:line="240" w:before="0" w:after="0"/>
        <w:ind w:left="5811" w:right="0" w:firstLine="72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eastAsia="Calibri" w:cs="Calibri"/>
        </w:rPr>
        <w:t xml:space="preserve">                                                                                                                             </w:t>
      </w:r>
      <w:r>
        <w:rPr/>
        <w:t xml:space="preserve">к договору от________№_____ </w:t>
      </w:r>
    </w:p>
    <w:tbl>
      <w:tblPr>
        <w:tblW w:w="10915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223"/>
        <w:gridCol w:w="9691"/>
      </w:tblGrid>
      <w:tr>
        <w:trPr/>
        <w:tc>
          <w:tcPr>
            <w:tcW w:w="122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cs="Times New Roman"/>
                <w:sz w:val="20"/>
                <w:szCs w:val="20"/>
              </w:rPr>
              <w:t xml:space="preserve">                                 </w:t>
            </w:r>
            <w:r>
              <w:rPr>
                <w:rFonts w:cs="Times New Roman"/>
                <w:sz w:val="20"/>
                <w:szCs w:val="20"/>
              </w:rPr>
              <w:t>Заказчик</w:t>
            </w:r>
          </w:p>
        </w:tc>
        <w:tc>
          <w:tcPr>
            <w:tcW w:w="9691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</w:tr>
      <w:tr>
        <w:trPr/>
        <w:tc>
          <w:tcPr>
            <w:tcW w:w="1223" w:type="dxa"/>
            <w:tcBorders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9691" w:type="dxa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(наименование организации)</w:t>
            </w:r>
          </w:p>
        </w:tc>
      </w:tr>
      <w:tr>
        <w:trPr/>
        <w:tc>
          <w:tcPr>
            <w:tcW w:w="10914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Утвержден __ ______________ 20__ г.</w:t>
            </w:r>
          </w:p>
        </w:tc>
      </w:tr>
    </w:tbl>
    <w:p>
      <w:pPr>
        <w:pStyle w:val="Normal"/>
        <w:widowControl w:val="false"/>
        <w:spacing w:lineRule="auto" w:line="240" w:before="0" w:after="0"/>
        <w:ind w:left="0" w:right="0" w:firstLine="72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tbl>
      <w:tblPr>
        <w:tblW w:w="10977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215"/>
        <w:gridCol w:w="2664"/>
        <w:gridCol w:w="3098"/>
      </w:tblGrid>
      <w:tr>
        <w:trPr/>
        <w:tc>
          <w:tcPr>
            <w:tcW w:w="5215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Сводный сметный расчет сметной стоимостью</w:t>
            </w:r>
          </w:p>
        </w:tc>
        <w:tc>
          <w:tcPr>
            <w:tcW w:w="2664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3098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руб.</w:t>
            </w:r>
          </w:p>
        </w:tc>
      </w:tr>
      <w:tr>
        <w:trPr/>
        <w:tc>
          <w:tcPr>
            <w:tcW w:w="10977" w:type="dxa"/>
            <w:gridSpan w:val="3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</w:tr>
      <w:tr>
        <w:trPr/>
        <w:tc>
          <w:tcPr>
            <w:tcW w:w="10977" w:type="dxa"/>
            <w:gridSpan w:val="3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(ссылка на документ об утверждении)</w:t>
            </w:r>
          </w:p>
        </w:tc>
      </w:tr>
    </w:tbl>
    <w:p>
      <w:pPr>
        <w:pStyle w:val="Normal"/>
        <w:widowControl w:val="false"/>
        <w:spacing w:lineRule="auto" w:line="240" w:before="0" w:after="0"/>
        <w:ind w:left="0" w:right="0" w:firstLine="72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tbl>
      <w:tblPr>
        <w:tblW w:w="10977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0977"/>
      </w:tblGrid>
      <w:tr>
        <w:trPr/>
        <w:tc>
          <w:tcPr>
            <w:tcW w:w="1097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СВОДНЫЙ СМЕТНЫЙ РАСЧЕТ</w:t>
            </w:r>
          </w:p>
          <w:p>
            <w:pPr>
              <w:pStyle w:val="Normal"/>
              <w:widowControl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N ССРСС-________</w:t>
            </w:r>
          </w:p>
        </w:tc>
      </w:tr>
      <w:tr>
        <w:trPr/>
        <w:tc>
          <w:tcPr>
            <w:tcW w:w="10977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</w:tr>
      <w:tr>
        <w:trPr/>
        <w:tc>
          <w:tcPr>
            <w:tcW w:w="10977" w:type="dxa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(наименование стройки)</w:t>
            </w:r>
          </w:p>
        </w:tc>
      </w:tr>
      <w:tr>
        <w:trPr/>
        <w:tc>
          <w:tcPr>
            <w:tcW w:w="1097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Составлен в текущих ценах, соответствующих периоду выполнения работ по Договору_________________ 20__ г.</w:t>
            </w:r>
          </w:p>
        </w:tc>
      </w:tr>
    </w:tbl>
    <w:p>
      <w:pPr>
        <w:pStyle w:val="Normal"/>
        <w:widowControl w:val="false"/>
        <w:spacing w:lineRule="auto" w:line="240" w:before="0" w:after="0"/>
        <w:ind w:left="0" w:right="0" w:firstLine="72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tbl>
      <w:tblPr>
        <w:tblW w:w="10706" w:type="dxa"/>
        <w:jc w:val="left"/>
        <w:tblInd w:w="34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27"/>
        <w:gridCol w:w="990"/>
        <w:gridCol w:w="293"/>
        <w:gridCol w:w="1636"/>
        <w:gridCol w:w="56"/>
        <w:gridCol w:w="1700"/>
        <w:gridCol w:w="15"/>
        <w:gridCol w:w="1263"/>
        <w:gridCol w:w="1426"/>
        <w:gridCol w:w="1135"/>
        <w:gridCol w:w="1763"/>
      </w:tblGrid>
      <w:tr>
        <w:trPr>
          <w:trHeight w:val="311" w:hRule="atLeast"/>
        </w:trPr>
        <w:tc>
          <w:tcPr>
            <w:tcW w:w="4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Nп/п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Обоснование</w:t>
            </w:r>
          </w:p>
        </w:tc>
        <w:tc>
          <w:tcPr>
            <w:tcW w:w="198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0" w:right="0" w:hanging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73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Сметная стоимость, руб.</w:t>
            </w:r>
          </w:p>
        </w:tc>
      </w:tr>
      <w:tr>
        <w:trPr>
          <w:trHeight w:val="1294" w:hRule="atLeast"/>
        </w:trPr>
        <w:tc>
          <w:tcPr>
            <w:tcW w:w="42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9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0" w:right="0" w:hanging="6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строительных (ремонтно-строительных, ремонтно-реставрационных) работ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191" w:right="0" w:hanging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0" w:right="0" w:hanging="8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оборудования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13" w:right="0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прочих затрат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всего</w:t>
            </w:r>
          </w:p>
        </w:tc>
      </w:tr>
      <w:tr>
        <w:trPr>
          <w:trHeight w:val="144" w:hRule="atLeast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1070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Сметы основного договора</w:t>
            </w:r>
          </w:p>
        </w:tc>
      </w:tr>
      <w:tr>
        <w:trPr>
          <w:trHeight w:val="287" w:hRule="atLeast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</w:tr>
      <w:tr>
        <w:trPr>
          <w:trHeight w:val="339" w:hRule="atLeast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33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Итого по сметам основного договора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1070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Включить дополнительным соглашением № 1</w:t>
            </w:r>
          </w:p>
        </w:tc>
      </w:tr>
      <w:tr>
        <w:trPr>
          <w:trHeight w:val="321" w:hRule="atLeast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34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Итого включено дополнительным соглашением № 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027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Исключить дополнительным соглашением № 2</w:t>
            </w:r>
          </w:p>
        </w:tc>
      </w:tr>
      <w:tr>
        <w:trPr>
          <w:trHeight w:val="321" w:hRule="atLeast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56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Итого исключено дополнительным соглашением № 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Итого по главе №: __________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Итого по главам №№: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Всего по ССР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</w:tr>
      <w:tr>
        <w:trPr>
          <w:trHeight w:val="283" w:hRule="atLeast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/>
            </w:pPr>
            <w:r>
              <w:rPr>
                <w:rFonts w:cs="Times New Roman"/>
                <w:i/>
                <w:sz w:val="18"/>
                <w:szCs w:val="18"/>
                <w:u w:val="single"/>
              </w:rPr>
              <w:t>Справочно</w:t>
            </w:r>
            <w:r>
              <w:rPr>
                <w:rFonts w:cs="Times New Roman"/>
                <w:i/>
                <w:sz w:val="18"/>
                <w:szCs w:val="18"/>
              </w:rPr>
              <w:t>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i/>
                <w:i/>
                <w:sz w:val="18"/>
                <w:szCs w:val="18"/>
              </w:rPr>
            </w:pPr>
            <w:r>
              <w:rPr>
                <w:rFonts w:cs="Times New Roman"/>
                <w:i/>
                <w:sz w:val="18"/>
                <w:szCs w:val="18"/>
              </w:rPr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i/>
                <w:i/>
                <w:sz w:val="18"/>
                <w:szCs w:val="18"/>
              </w:rPr>
            </w:pPr>
            <w:r>
              <w:rPr>
                <w:rFonts w:cs="Times New Roman"/>
                <w:i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i/>
                <w:i/>
                <w:sz w:val="18"/>
                <w:szCs w:val="18"/>
              </w:rPr>
            </w:pPr>
            <w:r>
              <w:rPr>
                <w:rFonts w:cs="Times New Roman"/>
                <w:i/>
                <w:sz w:val="18"/>
                <w:szCs w:val="18"/>
              </w:rPr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i/>
                <w:i/>
                <w:sz w:val="18"/>
                <w:szCs w:val="18"/>
              </w:rPr>
            </w:pPr>
            <w:r>
              <w:rPr>
                <w:rFonts w:cs="Times New Roman"/>
                <w:i/>
                <w:sz w:val="18"/>
                <w:szCs w:val="18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i/>
                <w:i/>
                <w:sz w:val="18"/>
                <w:szCs w:val="18"/>
              </w:rPr>
            </w:pPr>
            <w:r>
              <w:rPr>
                <w:rFonts w:cs="Times New Roman"/>
                <w:i/>
                <w:sz w:val="18"/>
                <w:szCs w:val="18"/>
              </w:rPr>
              <w:t>Сумма основного договора, без НДС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i/>
                <w:i/>
                <w:sz w:val="18"/>
                <w:szCs w:val="18"/>
              </w:rPr>
            </w:pPr>
            <w:r>
              <w:rPr>
                <w:rFonts w:cs="Times New Roman"/>
                <w:i/>
                <w:sz w:val="18"/>
                <w:szCs w:val="18"/>
              </w:rPr>
              <w:t>Сумма изменения</w:t>
              <w:br/>
              <w:t>(увеличения/уменьшения) стоимости основного договора на основании ДС № 1, без НДС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i/>
                <w:i/>
                <w:sz w:val="18"/>
                <w:szCs w:val="18"/>
              </w:rPr>
            </w:pPr>
            <w:r>
              <w:rPr>
                <w:rFonts w:cs="Times New Roman"/>
                <w:i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i/>
                <w:i/>
                <w:sz w:val="18"/>
                <w:szCs w:val="18"/>
              </w:rPr>
            </w:pPr>
            <w:r>
              <w:rPr>
                <w:rFonts w:cs="Times New Roman"/>
                <w:i/>
                <w:sz w:val="18"/>
                <w:szCs w:val="18"/>
              </w:rPr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i/>
                <w:i/>
                <w:sz w:val="18"/>
                <w:szCs w:val="18"/>
              </w:rPr>
            </w:pPr>
            <w:r>
              <w:rPr>
                <w:rFonts w:cs="Times New Roman"/>
                <w:i/>
                <w:sz w:val="18"/>
                <w:szCs w:val="18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i/>
                <w:i/>
                <w:sz w:val="18"/>
                <w:szCs w:val="18"/>
              </w:rPr>
            </w:pPr>
            <w:r>
              <w:rPr>
                <w:rFonts w:cs="Times New Roman"/>
                <w:i/>
                <w:sz w:val="18"/>
                <w:szCs w:val="18"/>
              </w:rPr>
              <w:t>Сумма изменения</w:t>
              <w:br/>
              <w:t>(увеличения/уменьшения) стоимости основного договора на основании ДС № 2, без НДС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</w:tr>
      <w:tr>
        <w:trPr/>
        <w:tc>
          <w:tcPr>
            <w:tcW w:w="3346" w:type="dxa"/>
            <w:gridSpan w:val="4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2091" w:leader="none"/>
              </w:tabs>
              <w:spacing w:lineRule="auto" w:line="240" w:before="0" w:after="0"/>
              <w:ind w:left="425" w:right="0" w:hanging="425"/>
              <w:rPr/>
            </w:pPr>
            <w:r>
              <w:rPr>
                <w:rFonts w:cs="Times New Roman"/>
                <w:sz w:val="20"/>
                <w:szCs w:val="20"/>
              </w:rPr>
              <w:t xml:space="preserve">        </w:t>
            </w:r>
            <w:r>
              <w:rPr>
                <w:rFonts w:cs="Times New Roman"/>
                <w:sz w:val="20"/>
                <w:szCs w:val="20"/>
              </w:rPr>
              <w:t>Руководитель</w:t>
            </w:r>
          </w:p>
          <w:p>
            <w:pPr>
              <w:pStyle w:val="Normal"/>
              <w:widowControl w:val="false"/>
              <w:spacing w:lineRule="auto" w:line="240" w:before="0" w:after="0"/>
              <w:ind w:left="425" w:right="0" w:hanging="425"/>
              <w:rPr/>
            </w:pPr>
            <w:r>
              <w:rPr>
                <w:rFonts w:cs="Times New Roman"/>
                <w:sz w:val="20"/>
                <w:szCs w:val="20"/>
              </w:rPr>
              <w:t xml:space="preserve">        </w:t>
            </w:r>
            <w:r>
              <w:rPr>
                <w:rFonts w:cs="Times New Roman"/>
                <w:sz w:val="20"/>
                <w:szCs w:val="20"/>
              </w:rPr>
              <w:t>проектной организации</w:t>
            </w:r>
          </w:p>
        </w:tc>
        <w:tc>
          <w:tcPr>
            <w:tcW w:w="7358" w:type="dxa"/>
            <w:gridSpan w:val="7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</w:tr>
      <w:tr>
        <w:trPr/>
        <w:tc>
          <w:tcPr>
            <w:tcW w:w="3346" w:type="dxa"/>
            <w:gridSpan w:val="4"/>
            <w:tcBorders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7358" w:type="dxa"/>
            <w:gridSpan w:val="7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[подпись (инициалы, фамилия)]</w:t>
            </w:r>
          </w:p>
        </w:tc>
      </w:tr>
      <w:tr>
        <w:trPr/>
        <w:tc>
          <w:tcPr>
            <w:tcW w:w="3346" w:type="dxa"/>
            <w:gridSpan w:val="4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141" w:right="0" w:hanging="14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Главный инженер проекта</w:t>
            </w:r>
          </w:p>
        </w:tc>
        <w:tc>
          <w:tcPr>
            <w:tcW w:w="7358" w:type="dxa"/>
            <w:gridSpan w:val="7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</w:tr>
      <w:tr>
        <w:trPr/>
        <w:tc>
          <w:tcPr>
            <w:tcW w:w="3346" w:type="dxa"/>
            <w:gridSpan w:val="4"/>
            <w:tcBorders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7358" w:type="dxa"/>
            <w:gridSpan w:val="7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[подпись (инициалы, фамилия)]</w:t>
            </w:r>
          </w:p>
        </w:tc>
      </w:tr>
      <w:tr>
        <w:trPr/>
        <w:tc>
          <w:tcPr>
            <w:tcW w:w="1710" w:type="dxa"/>
            <w:gridSpan w:val="3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Начальник</w:t>
            </w:r>
          </w:p>
        </w:tc>
        <w:tc>
          <w:tcPr>
            <w:tcW w:w="1692" w:type="dxa"/>
            <w:gridSpan w:val="2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1715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0" w:right="0" w:hanging="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отдела</w:t>
            </w:r>
          </w:p>
        </w:tc>
        <w:tc>
          <w:tcPr>
            <w:tcW w:w="5587" w:type="dxa"/>
            <w:gridSpan w:val="4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</w:tr>
      <w:tr>
        <w:trPr/>
        <w:tc>
          <w:tcPr>
            <w:tcW w:w="1710" w:type="dxa"/>
            <w:gridSpan w:val="3"/>
            <w:tcBorders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1692" w:type="dxa"/>
            <w:gridSpan w:val="2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0" w:right="0" w:hanging="1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(наименование)</w:t>
            </w:r>
          </w:p>
        </w:tc>
        <w:tc>
          <w:tcPr>
            <w:tcW w:w="1715" w:type="dxa"/>
            <w:gridSpan w:val="2"/>
            <w:tcBorders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5587" w:type="dxa"/>
            <w:gridSpan w:val="4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[подпись (инициалы, фамилия)]</w:t>
            </w:r>
          </w:p>
        </w:tc>
      </w:tr>
      <w:tr>
        <w:trPr/>
        <w:tc>
          <w:tcPr>
            <w:tcW w:w="1710" w:type="dxa"/>
            <w:gridSpan w:val="3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141" w:right="0" w:hanging="141"/>
              <w:jc w:val="center"/>
              <w:rPr/>
            </w:pPr>
            <w:r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Заказчик</w:t>
            </w:r>
          </w:p>
        </w:tc>
        <w:tc>
          <w:tcPr>
            <w:tcW w:w="8994" w:type="dxa"/>
            <w:gridSpan w:val="8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</w:tr>
      <w:tr>
        <w:trPr/>
        <w:tc>
          <w:tcPr>
            <w:tcW w:w="1710" w:type="dxa"/>
            <w:gridSpan w:val="3"/>
            <w:tcBorders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8994" w:type="dxa"/>
            <w:gridSpan w:val="8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7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[должность, подпись (инициалы, фамилия)]</w:t>
            </w:r>
          </w:p>
        </w:tc>
      </w:tr>
    </w:tbl>
    <w:p>
      <w:pPr>
        <w:sectPr>
          <w:headerReference w:type="default" r:id="rId12"/>
          <w:headerReference w:type="first" r:id="rId13"/>
          <w:footerReference w:type="default" r:id="rId14"/>
          <w:type w:val="nextPage"/>
          <w:pgSz w:w="11906" w:h="16838"/>
          <w:pgMar w:left="426" w:right="567" w:gutter="0" w:header="0" w:top="57" w:footer="709" w:bottom="766"/>
          <w:pgNumType w:fmt="decimal"/>
          <w:formProt w:val="false"/>
          <w:textDirection w:val="lrTb"/>
          <w:docGrid w:type="default" w:linePitch="360" w:charSpace="0"/>
        </w:sectPr>
      </w:pPr>
    </w:p>
    <w:p>
      <w:pPr>
        <w:pStyle w:val="Normal"/>
        <w:spacing w:lineRule="auto" w:line="240" w:before="0"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ind w:left="426" w:right="0" w:hanging="426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b/>
          <w:sz w:val="20"/>
          <w:szCs w:val="20"/>
        </w:rPr>
        <w:t>ОБРАЗЕЦ</w:t>
      </w:r>
    </w:p>
    <w:p>
      <w:pPr>
        <w:pStyle w:val="Normal"/>
        <w:spacing w:lineRule="auto" w:line="240" w:before="0" w:after="0"/>
        <w:ind w:left="5811" w:right="0" w:hanging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</w:rPr>
        <w:t xml:space="preserve"> </w:t>
      </w:r>
      <w:r>
        <w:rPr>
          <w:rFonts w:cs="Times New Roman"/>
          <w:sz w:val="20"/>
          <w:szCs w:val="20"/>
        </w:rPr>
        <w:t xml:space="preserve">Приложение №1.3 </w:t>
      </w:r>
    </w:p>
    <w:p>
      <w:pPr>
        <w:pStyle w:val="Normal"/>
        <w:widowControl w:val="false"/>
        <w:spacing w:lineRule="auto" w:line="240" w:before="0" w:after="0"/>
        <w:ind w:left="5811" w:right="0" w:firstLine="72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sz w:val="20"/>
          <w:szCs w:val="20"/>
        </w:rPr>
        <w:t xml:space="preserve"> </w:t>
      </w:r>
    </w:p>
    <w:p>
      <w:pPr>
        <w:pStyle w:val="Normal"/>
        <w:widowControl w:val="false"/>
        <w:spacing w:lineRule="auto" w:line="240" w:before="0" w:after="0"/>
        <w:ind w:left="5811" w:right="0" w:hanging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sz w:val="20"/>
          <w:szCs w:val="20"/>
        </w:rPr>
        <w:t xml:space="preserve"> </w:t>
      </w:r>
      <w:r>
        <w:rPr>
          <w:rFonts w:cs="Times New Roman"/>
          <w:sz w:val="20"/>
          <w:szCs w:val="20"/>
        </w:rPr>
        <w:t xml:space="preserve">к Требованиям </w:t>
      </w:r>
      <w:r>
        <w:rPr>
          <w:rFonts w:cs="Times New Roman"/>
          <w:color w:val="000000"/>
        </w:rPr>
        <w:t xml:space="preserve">к </w:t>
      </w:r>
      <w:r>
        <w:rPr>
          <w:rFonts w:cs="Times New Roman"/>
          <w:sz w:val="20"/>
          <w:szCs w:val="20"/>
        </w:rPr>
        <w:t xml:space="preserve">оформлению и составлению сводного сметного расчёта к договорам на реконструкцию, техническое перевооружение и дополнительным соглашениям к указанным договорам </w:t>
      </w:r>
    </w:p>
    <w:p>
      <w:pPr>
        <w:pStyle w:val="Normal"/>
        <w:widowControl w:val="false"/>
        <w:spacing w:lineRule="auto" w:line="240" w:before="0" w:after="0"/>
        <w:ind w:left="5811" w:right="0" w:firstLine="72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ind w:left="5811" w:right="0" w:firstLine="72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sz w:val="20"/>
          <w:szCs w:val="20"/>
        </w:rPr>
        <w:t>Приложение №___</w:t>
      </w:r>
    </w:p>
    <w:p>
      <w:pPr>
        <w:pStyle w:val="Normal"/>
        <w:widowControl w:val="false"/>
        <w:spacing w:lineRule="auto" w:line="240" w:before="0" w:after="0"/>
        <w:ind w:left="5811" w:right="0" w:firstLine="72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sz w:val="20"/>
          <w:szCs w:val="20"/>
        </w:rPr>
        <w:t>к дополнительному соглашению от ___ № ___</w:t>
      </w:r>
    </w:p>
    <w:p>
      <w:pPr>
        <w:pStyle w:val="Normal"/>
        <w:widowControl w:val="false"/>
        <w:spacing w:lineRule="auto" w:line="240" w:before="0" w:after="0"/>
        <w:ind w:left="5811" w:right="0" w:firstLine="72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sz w:val="20"/>
          <w:szCs w:val="20"/>
        </w:rPr>
        <w:t xml:space="preserve">                                   </w:t>
      </w:r>
      <w:r>
        <w:rPr>
          <w:rFonts w:cs="Times New Roman"/>
          <w:sz w:val="20"/>
          <w:szCs w:val="20"/>
        </w:rPr>
        <w:t xml:space="preserve">к договору от_______№_____ </w:t>
      </w:r>
    </w:p>
    <w:p>
      <w:pPr>
        <w:pStyle w:val="Normal"/>
        <w:widowControl w:val="false"/>
        <w:spacing w:lineRule="auto" w:line="240" w:before="0" w:after="0"/>
        <w:ind w:left="0" w:right="0" w:firstLine="72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b/>
          <w:sz w:val="20"/>
          <w:szCs w:val="20"/>
        </w:rPr>
        <w:t>Сопоставительная ведомость изменения сметной стоимости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tbl>
      <w:tblPr>
        <w:tblW w:w="10206" w:type="dxa"/>
        <w:jc w:val="left"/>
        <w:tblInd w:w="48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24"/>
        <w:gridCol w:w="850"/>
        <w:gridCol w:w="851"/>
        <w:gridCol w:w="1276"/>
        <w:gridCol w:w="1276"/>
        <w:gridCol w:w="1701"/>
        <w:gridCol w:w="1709"/>
        <w:gridCol w:w="2117"/>
      </w:tblGrid>
      <w:tr>
        <w:trPr>
          <w:trHeight w:val="433" w:hRule="atLeast"/>
        </w:trPr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cs="Times New Roman"/>
                <w:sz w:val="18"/>
                <w:szCs w:val="18"/>
              </w:rPr>
              <w:t xml:space="preserve">№ </w:t>
            </w:r>
            <w:r>
              <w:rPr>
                <w:rFonts w:cs="Times New Roman"/>
                <w:sz w:val="18"/>
                <w:szCs w:val="18"/>
              </w:rPr>
              <w:t>п/п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Сметная стоимость, тыс. руб.</w:t>
            </w:r>
          </w:p>
        </w:tc>
        <w:tc>
          <w:tcPr>
            <w:tcW w:w="1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Разница в сметной стоимости, руб.</w:t>
            </w:r>
          </w:p>
        </w:tc>
        <w:tc>
          <w:tcPr>
            <w:tcW w:w="21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Обоснование изменений сметной стоимости</w:t>
            </w:r>
          </w:p>
        </w:tc>
      </w:tr>
      <w:tr>
        <w:trPr/>
        <w:tc>
          <w:tcPr>
            <w:tcW w:w="4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52" w:before="0" w:after="160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eastAsia="Calibri" w:cs="Times New Roman"/>
                <w:sz w:val="18"/>
                <w:szCs w:val="18"/>
                <w:lang w:eastAsia="en-US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шифр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cs="Times New Roman"/>
                <w:sz w:val="18"/>
                <w:szCs w:val="18"/>
              </w:rPr>
              <w:t xml:space="preserve">№ </w:t>
            </w:r>
            <w:r>
              <w:rPr>
                <w:rFonts w:cs="Times New Roman"/>
                <w:sz w:val="18"/>
                <w:szCs w:val="18"/>
              </w:rPr>
              <w:t>позиции сметного расчета (сметы) в ССР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подлежащая включению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подлежащая исключению</w:t>
            </w:r>
          </w:p>
        </w:tc>
        <w:tc>
          <w:tcPr>
            <w:tcW w:w="17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52" w:before="0" w:after="160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eastAsia="Calibri" w:cs="Times New Roman"/>
                <w:sz w:val="18"/>
                <w:szCs w:val="18"/>
                <w:lang w:eastAsia="en-US"/>
              </w:rPr>
            </w:r>
          </w:p>
        </w:tc>
        <w:tc>
          <w:tcPr>
            <w:tcW w:w="211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52" w:before="0" w:after="160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eastAsia="Calibri" w:cs="Times New Roman"/>
                <w:sz w:val="18"/>
                <w:szCs w:val="18"/>
                <w:lang w:eastAsia="en-US"/>
              </w:rPr>
            </w:r>
          </w:p>
        </w:tc>
      </w:tr>
      <w:tr>
        <w:trPr/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</w:tr>
    </w:tbl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  <w:r>
        <w:br w:type="page"/>
      </w:r>
    </w:p>
    <w:p>
      <w:pPr>
        <w:pStyle w:val="Normal"/>
        <w:spacing w:lineRule="auto" w:line="240" w:before="0" w:after="0"/>
        <w:ind w:left="357" w:right="0" w:hanging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ind w:left="357" w:right="0" w:hanging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sz w:val="20"/>
          <w:szCs w:val="20"/>
        </w:rPr>
        <w:t xml:space="preserve">Приложение №1.4 </w:t>
      </w:r>
    </w:p>
    <w:p>
      <w:pPr>
        <w:pStyle w:val="Normal"/>
        <w:widowControl w:val="false"/>
        <w:spacing w:lineRule="auto" w:line="240" w:before="0" w:after="0"/>
        <w:ind w:left="5811" w:right="0" w:hanging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sz w:val="20"/>
          <w:szCs w:val="20"/>
        </w:rPr>
        <w:t xml:space="preserve">к Требованиям </w:t>
      </w:r>
      <w:r>
        <w:rPr>
          <w:rFonts w:cs="Times New Roman"/>
          <w:color w:val="000000"/>
        </w:rPr>
        <w:t xml:space="preserve">к </w:t>
      </w:r>
      <w:r>
        <w:rPr>
          <w:rFonts w:cs="Times New Roman"/>
          <w:sz w:val="20"/>
          <w:szCs w:val="20"/>
        </w:rPr>
        <w:t xml:space="preserve">оформлению и составлению сводного сметного расчёта к договорам на реконструкцию, техническое перевооружение и дополнительным соглашениям к указанным договорам </w:t>
      </w:r>
    </w:p>
    <w:p>
      <w:pPr>
        <w:pStyle w:val="Normal"/>
        <w:widowControl w:val="false"/>
        <w:spacing w:lineRule="auto" w:line="240" w:before="0" w:after="0"/>
        <w:ind w:left="5811" w:right="0" w:firstLine="72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ind w:left="5811" w:right="0" w:firstLine="72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ind w:left="5811" w:right="0" w:firstLine="72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sz w:val="20"/>
          <w:szCs w:val="20"/>
        </w:rPr>
        <w:t>Приложение №___</w:t>
      </w:r>
    </w:p>
    <w:p>
      <w:pPr>
        <w:pStyle w:val="Normal"/>
        <w:widowControl w:val="false"/>
        <w:spacing w:lineRule="auto" w:line="240" w:before="0" w:after="0"/>
        <w:ind w:left="5811" w:right="0" w:firstLine="72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sz w:val="20"/>
          <w:szCs w:val="20"/>
        </w:rPr>
        <w:t>к дополнительному соглашению от ___ № ___</w:t>
      </w:r>
    </w:p>
    <w:p>
      <w:pPr>
        <w:pStyle w:val="Normal"/>
        <w:widowControl w:val="false"/>
        <w:spacing w:lineRule="auto" w:line="240" w:before="0" w:after="0"/>
        <w:ind w:left="5811" w:right="0" w:firstLine="72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sz w:val="20"/>
          <w:szCs w:val="20"/>
        </w:rPr>
        <w:t xml:space="preserve">к договору от_______№_____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ind w:left="0" w:right="0" w:firstLine="72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b/>
          <w:sz w:val="20"/>
          <w:szCs w:val="20"/>
        </w:rPr>
        <w:t>Сопоставительная ведомость объемов работ</w:t>
      </w:r>
    </w:p>
    <w:p>
      <w:pPr>
        <w:pStyle w:val="Normal"/>
        <w:widowControl w:val="false"/>
        <w:spacing w:lineRule="auto" w:line="240" w:before="0" w:after="0"/>
        <w:ind w:left="0" w:righ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tbl>
      <w:tblPr>
        <w:tblW w:w="10773" w:type="dxa"/>
        <w:jc w:val="left"/>
        <w:tblInd w:w="2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25"/>
        <w:gridCol w:w="709"/>
        <w:gridCol w:w="851"/>
        <w:gridCol w:w="1208"/>
        <w:gridCol w:w="916"/>
        <w:gridCol w:w="851"/>
        <w:gridCol w:w="852"/>
        <w:gridCol w:w="851"/>
        <w:gridCol w:w="851"/>
        <w:gridCol w:w="707"/>
        <w:gridCol w:w="567"/>
        <w:gridCol w:w="850"/>
        <w:gridCol w:w="1134"/>
      </w:tblGrid>
      <w:tr>
        <w:trPr>
          <w:trHeight w:val="880" w:hRule="atLeast"/>
        </w:trPr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62" w:right="0" w:hanging="0"/>
              <w:jc w:val="center"/>
              <w:rPr/>
            </w:pPr>
            <w:r>
              <w:rPr>
                <w:rFonts w:cs="Times New Roman"/>
                <w:sz w:val="18"/>
                <w:szCs w:val="18"/>
              </w:rPr>
              <w:t xml:space="preserve">№№ </w:t>
            </w:r>
            <w:r>
              <w:rPr>
                <w:rFonts w:cs="Times New Roman"/>
                <w:sz w:val="18"/>
                <w:szCs w:val="18"/>
              </w:rPr>
              <w:t>пп</w:t>
            </w:r>
          </w:p>
        </w:tc>
        <w:tc>
          <w:tcPr>
            <w:tcW w:w="36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Наименование работ и затрат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0" w:right="0" w:hanging="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Ед. изм.</w:t>
            </w:r>
          </w:p>
        </w:tc>
        <w:tc>
          <w:tcPr>
            <w:tcW w:w="17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Объем работ в сметной документации</w:t>
            </w:r>
          </w:p>
        </w:tc>
        <w:tc>
          <w:tcPr>
            <w:tcW w:w="127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Изменение объемов работ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Обоснование изменений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1360" w:right="0" w:hanging="141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Примечание</w:t>
            </w:r>
          </w:p>
        </w:tc>
      </w:tr>
      <w:tr>
        <w:trPr>
          <w:trHeight w:val="62" w:hRule="atLeast"/>
        </w:trPr>
        <w:tc>
          <w:tcPr>
            <w:tcW w:w="42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cs="Times New Roman"/>
                <w:sz w:val="18"/>
                <w:szCs w:val="18"/>
                <w:lang w:val="en-US"/>
              </w:rPr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797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шифр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64" w:right="0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21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cs="Times New Roman"/>
                <w:sz w:val="18"/>
                <w:szCs w:val="18"/>
              </w:rPr>
              <w:t xml:space="preserve">№ </w:t>
            </w:r>
            <w:r>
              <w:rPr>
                <w:rFonts w:cs="Times New Roman"/>
                <w:sz w:val="18"/>
                <w:szCs w:val="18"/>
              </w:rPr>
              <w:t>позиции в сметном расчете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702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274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</w:tr>
      <w:tr>
        <w:trPr>
          <w:trHeight w:val="1308" w:hRule="atLeast"/>
        </w:trPr>
        <w:tc>
          <w:tcPr>
            <w:tcW w:w="42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7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до изменений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85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79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до изменений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80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увели</w:t>
            </w:r>
          </w:p>
          <w:p>
            <w:pPr>
              <w:pStyle w:val="Normal"/>
              <w:widowControl w:val="false"/>
              <w:spacing w:lineRule="auto" w:line="240" w:before="0" w:after="0"/>
              <w:ind w:left="-80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чение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снижение</w:t>
            </w:r>
          </w:p>
        </w:tc>
        <w:tc>
          <w:tcPr>
            <w:tcW w:w="8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13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</w:tr>
      <w:tr>
        <w:trPr>
          <w:trHeight w:val="232" w:hRule="atLeast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</w:tr>
      <w:tr>
        <w:trPr>
          <w:trHeight w:val="232" w:hRule="atLeast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0" w:right="0" w:firstLine="7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</w:tr>
    </w:tbl>
    <w:p>
      <w:pPr>
        <w:sectPr>
          <w:headerReference w:type="default" r:id="rId15"/>
          <w:headerReference w:type="first" r:id="rId16"/>
          <w:footerReference w:type="default" r:id="rId17"/>
          <w:footerReference w:type="first" r:id="rId18"/>
          <w:type w:val="nextPage"/>
          <w:pgSz w:w="11906" w:h="16838"/>
          <w:pgMar w:left="426" w:right="924" w:gutter="0" w:header="0" w:top="284" w:footer="709" w:bottom="766"/>
          <w:pgNumType w:fmt="decimal"/>
          <w:formProt w:val="false"/>
          <w:textDirection w:val="lrTb"/>
          <w:docGrid w:type="default" w:linePitch="360" w:charSpace="0"/>
        </w:sectPr>
      </w:pPr>
    </w:p>
    <w:tbl>
      <w:tblPr>
        <w:tblW w:w="9354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4"/>
      </w:tblGrid>
      <w:tr>
        <w:trPr/>
        <w:tc>
          <w:tcPr>
            <w:tcW w:w="935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/>
                <w:sz w:val="20"/>
              </w:rPr>
            </w:r>
          </w:p>
        </w:tc>
      </w:tr>
    </w:tbl>
    <w:p>
      <w:pPr>
        <w:pStyle w:val="Normal"/>
        <w:spacing w:lineRule="auto" w:line="240" w:before="0" w:after="0"/>
        <w:ind w:left="5811" w:right="0" w:hanging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0"/>
          <w:szCs w:val="20"/>
        </w:rPr>
        <w:t xml:space="preserve">                                                                                             </w:t>
      </w:r>
      <w:r>
        <w:rPr>
          <w:rFonts w:cs="Times New Roman"/>
          <w:color w:val="000000"/>
          <w:sz w:val="20"/>
          <w:szCs w:val="20"/>
        </w:rPr>
        <w:t>Приложение№2</w:t>
      </w:r>
      <w:r>
        <w:rPr>
          <w:rFonts w:cs="Times New Roman"/>
          <w:color w:val="000000"/>
          <w:sz w:val="20"/>
        </w:rPr>
        <w:t xml:space="preserve"> к Требованиям к оформлению и составлению сметной документации </w:t>
      </w:r>
      <w:r>
        <w:rPr>
          <w:rFonts w:cs="Times New Roman"/>
          <w:color w:val="000000"/>
          <w:sz w:val="20"/>
          <w:szCs w:val="20"/>
        </w:rPr>
        <w:t>на выполнение строительно-монтажных работ</w:t>
      </w:r>
      <w:r>
        <w:rPr>
          <w:rFonts w:cs="Times New Roman"/>
          <w:color w:val="000000"/>
          <w:sz w:val="20"/>
        </w:rPr>
        <w:t xml:space="preserve"> по программе реконструкции и техническому перевооружению.</w:t>
      </w:r>
    </w:p>
    <w:p>
      <w:pPr>
        <w:pStyle w:val="Normal"/>
        <w:spacing w:lineRule="auto" w:line="240" w:before="0" w:after="0"/>
        <w:ind w:left="5811" w:right="0" w:hanging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0"/>
          <w:szCs w:val="20"/>
        </w:rPr>
        <w:t xml:space="preserve"> </w:t>
      </w:r>
    </w:p>
    <w:p>
      <w:pPr>
        <w:pStyle w:val="Normal"/>
        <w:spacing w:lineRule="auto" w:line="240" w:before="0" w:after="0"/>
        <w:ind w:left="5811" w:right="0" w:hanging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</w:t>
      </w:r>
    </w:p>
    <w:p>
      <w:pPr>
        <w:pStyle w:val="Normal"/>
        <w:widowControl w:val="false"/>
        <w:spacing w:lineRule="auto" w:line="240" w:before="0" w:after="0"/>
        <w:ind w:left="5811" w:right="0" w:firstLine="72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ind w:left="5811" w:right="0" w:firstLine="72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sz w:val="20"/>
          <w:szCs w:val="20"/>
        </w:rPr>
        <w:t xml:space="preserve"> 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b/>
          <w:color w:val="000000"/>
          <w:sz w:val="20"/>
          <w:szCs w:val="20"/>
        </w:rPr>
        <w:t>ОБРАЗЕЦ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0"/>
        <w:gridCol w:w="1295"/>
        <w:gridCol w:w="678"/>
        <w:gridCol w:w="2765"/>
        <w:gridCol w:w="833"/>
        <w:gridCol w:w="1079"/>
        <w:gridCol w:w="653"/>
        <w:gridCol w:w="1022"/>
        <w:gridCol w:w="1064"/>
        <w:gridCol w:w="653"/>
        <w:gridCol w:w="1023"/>
        <w:gridCol w:w="498"/>
        <w:gridCol w:w="675"/>
        <w:gridCol w:w="2201"/>
      </w:tblGrid>
      <w:tr>
        <w:trPr>
          <w:trHeight w:val="285" w:hRule="atLeast"/>
        </w:trPr>
        <w:tc>
          <w:tcPr>
            <w:tcW w:w="3083" w:type="dxa"/>
            <w:gridSpan w:val="3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  <w:t>СОГЛАСОВАНО:</w:t>
            </w:r>
          </w:p>
        </w:tc>
        <w:tc>
          <w:tcPr>
            <w:tcW w:w="2765" w:type="dxa"/>
            <w:tcBorders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833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1079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653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1022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1064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653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4397" w:type="dxa"/>
            <w:gridSpan w:val="4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  <w:t>УТВЕРЖДАЮ:</w:t>
            </w:r>
          </w:p>
        </w:tc>
      </w:tr>
      <w:tr>
        <w:trPr>
          <w:trHeight w:val="225" w:hRule="atLeast"/>
        </w:trPr>
        <w:tc>
          <w:tcPr>
            <w:tcW w:w="5848" w:type="dxa"/>
            <w:gridSpan w:val="4"/>
            <w:tcBorders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833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1079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653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1022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1064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5050" w:type="dxa"/>
            <w:gridSpan w:val="5"/>
            <w:tcBorders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</w:tr>
      <w:tr>
        <w:trPr>
          <w:trHeight w:val="345" w:hRule="atLeast"/>
        </w:trPr>
        <w:tc>
          <w:tcPr>
            <w:tcW w:w="1110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295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678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765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</w:r>
          </w:p>
        </w:tc>
        <w:tc>
          <w:tcPr>
            <w:tcW w:w="833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</w:r>
          </w:p>
        </w:tc>
        <w:tc>
          <w:tcPr>
            <w:tcW w:w="1079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</w:r>
          </w:p>
        </w:tc>
        <w:tc>
          <w:tcPr>
            <w:tcW w:w="653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1022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1064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653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1023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498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675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201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</w:tr>
      <w:tr>
        <w:trPr>
          <w:trHeight w:val="330" w:hRule="atLeast"/>
        </w:trPr>
        <w:tc>
          <w:tcPr>
            <w:tcW w:w="2405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"_____" _____________2021 г</w:t>
            </w:r>
          </w:p>
        </w:tc>
        <w:tc>
          <w:tcPr>
            <w:tcW w:w="678" w:type="dxa"/>
            <w:tcBorders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765" w:type="dxa"/>
            <w:tcBorders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</w:r>
          </w:p>
        </w:tc>
        <w:tc>
          <w:tcPr>
            <w:tcW w:w="833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</w:r>
          </w:p>
        </w:tc>
        <w:tc>
          <w:tcPr>
            <w:tcW w:w="1079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</w:r>
          </w:p>
        </w:tc>
        <w:tc>
          <w:tcPr>
            <w:tcW w:w="653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1022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1064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653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1023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498" w:type="dxa"/>
            <w:tcBorders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675" w:type="dxa"/>
            <w:tcBorders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2201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"_____" ________2021 г</w:t>
            </w:r>
          </w:p>
        </w:tc>
      </w:tr>
      <w:tr>
        <w:trPr>
          <w:trHeight w:val="225" w:hRule="atLeast"/>
        </w:trPr>
        <w:tc>
          <w:tcPr>
            <w:tcW w:w="3083" w:type="dxa"/>
            <w:gridSpan w:val="3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Наименование редакции сметных нормативов</w:t>
            </w:r>
          </w:p>
        </w:tc>
        <w:tc>
          <w:tcPr>
            <w:tcW w:w="12466" w:type="dxa"/>
            <w:gridSpan w:val="11"/>
            <w:tcBorders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</w:tr>
      <w:tr>
        <w:trPr>
          <w:trHeight w:val="300" w:hRule="atLeast"/>
        </w:trPr>
        <w:tc>
          <w:tcPr>
            <w:tcW w:w="3083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Наименование программного продукта</w:t>
            </w:r>
          </w:p>
        </w:tc>
        <w:tc>
          <w:tcPr>
            <w:tcW w:w="3598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ПК "ГРАНД-Смета 2021"</w:t>
            </w:r>
          </w:p>
        </w:tc>
        <w:tc>
          <w:tcPr>
            <w:tcW w:w="1079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653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022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064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653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023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498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675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201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</w:tr>
      <w:tr>
        <w:trPr>
          <w:trHeight w:val="165" w:hRule="atLeast"/>
        </w:trPr>
        <w:tc>
          <w:tcPr>
            <w:tcW w:w="1110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295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</w:r>
          </w:p>
        </w:tc>
        <w:tc>
          <w:tcPr>
            <w:tcW w:w="678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</w:r>
          </w:p>
        </w:tc>
        <w:tc>
          <w:tcPr>
            <w:tcW w:w="2765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</w:r>
          </w:p>
        </w:tc>
        <w:tc>
          <w:tcPr>
            <w:tcW w:w="833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1079" w:type="dxa"/>
            <w:tcBorders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653" w:type="dxa"/>
            <w:tcBorders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1022" w:type="dxa"/>
            <w:tcBorders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1064" w:type="dxa"/>
            <w:tcBorders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653" w:type="dxa"/>
            <w:tcBorders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1023" w:type="dxa"/>
            <w:tcBorders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498" w:type="dxa"/>
            <w:tcBorders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675" w:type="dxa"/>
            <w:tcBorders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2201" w:type="dxa"/>
            <w:tcBorders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15549" w:type="dxa"/>
            <w:gridSpan w:val="14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i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16"/>
                <w:szCs w:val="16"/>
              </w:rPr>
              <w:t>(наименование стройки)</w:t>
            </w:r>
          </w:p>
        </w:tc>
      </w:tr>
      <w:tr>
        <w:trPr>
          <w:trHeight w:val="225" w:hRule="atLeast"/>
        </w:trPr>
        <w:tc>
          <w:tcPr>
            <w:tcW w:w="15549" w:type="dxa"/>
            <w:gridSpan w:val="14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Times New Roman"/>
                <w:i/>
                <w:iCs/>
                <w:color w:val="000000"/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15549" w:type="dxa"/>
            <w:gridSpan w:val="14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i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16"/>
                <w:szCs w:val="16"/>
              </w:rPr>
              <w:t>(наименование объекта капитального строительства)</w:t>
            </w:r>
          </w:p>
        </w:tc>
      </w:tr>
      <w:tr>
        <w:trPr>
          <w:trHeight w:val="480" w:hRule="atLeast"/>
        </w:trPr>
        <w:tc>
          <w:tcPr>
            <w:tcW w:w="15549" w:type="dxa"/>
            <w:gridSpan w:val="1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4"/>
                <w:szCs w:val="24"/>
              </w:rPr>
              <w:t>ЛОКАЛЬНЫЙ СМЕТНЫЙ РАСЧЕТ (СМЕТА) №</w:t>
            </w:r>
          </w:p>
        </w:tc>
      </w:tr>
      <w:tr>
        <w:trPr>
          <w:trHeight w:val="165" w:hRule="atLeast"/>
        </w:trPr>
        <w:tc>
          <w:tcPr>
            <w:tcW w:w="1110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8"/>
                <w:szCs w:val="28"/>
              </w:rPr>
            </w:r>
          </w:p>
        </w:tc>
        <w:tc>
          <w:tcPr>
            <w:tcW w:w="1295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678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2765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833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1079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653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1022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1064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653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1023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498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675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2201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15549" w:type="dxa"/>
            <w:gridSpan w:val="14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</w:tr>
      <w:tr>
        <w:trPr>
          <w:trHeight w:val="270" w:hRule="atLeast"/>
        </w:trPr>
        <w:tc>
          <w:tcPr>
            <w:tcW w:w="15549" w:type="dxa"/>
            <w:gridSpan w:val="14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i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16"/>
                <w:szCs w:val="16"/>
              </w:rPr>
              <w:t>(наименование конструктивного решения)</w:t>
            </w:r>
          </w:p>
        </w:tc>
      </w:tr>
      <w:tr>
        <w:trPr>
          <w:trHeight w:val="300" w:hRule="atLeast"/>
        </w:trPr>
        <w:tc>
          <w:tcPr>
            <w:tcW w:w="1110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Составлен</w:t>
            </w:r>
          </w:p>
        </w:tc>
        <w:tc>
          <w:tcPr>
            <w:tcW w:w="1295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базисно-индексным</w:t>
            </w:r>
          </w:p>
        </w:tc>
        <w:tc>
          <w:tcPr>
            <w:tcW w:w="678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методом</w:t>
            </w:r>
          </w:p>
        </w:tc>
        <w:tc>
          <w:tcPr>
            <w:tcW w:w="2765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33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</w:r>
          </w:p>
        </w:tc>
        <w:tc>
          <w:tcPr>
            <w:tcW w:w="1079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</w:r>
          </w:p>
        </w:tc>
        <w:tc>
          <w:tcPr>
            <w:tcW w:w="653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</w:r>
          </w:p>
        </w:tc>
        <w:tc>
          <w:tcPr>
            <w:tcW w:w="1022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1064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653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1023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498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675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2201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</w:tr>
      <w:tr>
        <w:trPr>
          <w:trHeight w:val="177" w:hRule="atLeast"/>
        </w:trPr>
        <w:tc>
          <w:tcPr>
            <w:tcW w:w="1110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Основание</w:t>
            </w:r>
          </w:p>
        </w:tc>
        <w:tc>
          <w:tcPr>
            <w:tcW w:w="6650" w:type="dxa"/>
            <w:gridSpan w:val="5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653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022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</w:r>
          </w:p>
        </w:tc>
        <w:tc>
          <w:tcPr>
            <w:tcW w:w="1064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</w:r>
          </w:p>
        </w:tc>
        <w:tc>
          <w:tcPr>
            <w:tcW w:w="653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</w:r>
          </w:p>
        </w:tc>
        <w:tc>
          <w:tcPr>
            <w:tcW w:w="1023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498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675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2201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1110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6650" w:type="dxa"/>
            <w:gridSpan w:val="5"/>
            <w:tcBorders>
              <w:top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i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16"/>
                <w:szCs w:val="16"/>
              </w:rPr>
              <w:t>(проектная и (или) иная техническая документация)</w:t>
            </w:r>
          </w:p>
        </w:tc>
        <w:tc>
          <w:tcPr>
            <w:tcW w:w="653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i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16"/>
                <w:szCs w:val="16"/>
              </w:rPr>
            </w:r>
          </w:p>
        </w:tc>
        <w:tc>
          <w:tcPr>
            <w:tcW w:w="1022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Times New Roman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1064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Times New Roman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653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Times New Roman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1023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498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675" w:type="dxa"/>
            <w:tcBorders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2201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3083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  <w:t>Составлен(а) в текущем (базисном) уровне цен</w:t>
            </w:r>
          </w:p>
        </w:tc>
        <w:tc>
          <w:tcPr>
            <w:tcW w:w="2765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соответствующих периоду выполнения работ по договору</w:t>
            </w:r>
          </w:p>
        </w:tc>
        <w:tc>
          <w:tcPr>
            <w:tcW w:w="833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079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</w:r>
          </w:p>
        </w:tc>
        <w:tc>
          <w:tcPr>
            <w:tcW w:w="653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</w:r>
          </w:p>
        </w:tc>
        <w:tc>
          <w:tcPr>
            <w:tcW w:w="1022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</w:r>
          </w:p>
        </w:tc>
        <w:tc>
          <w:tcPr>
            <w:tcW w:w="1064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653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1023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498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675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2201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</w:tr>
      <w:tr>
        <w:trPr>
          <w:trHeight w:val="255" w:hRule="atLeast"/>
        </w:trPr>
        <w:tc>
          <w:tcPr>
            <w:tcW w:w="2405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  <w:t>Сметная стоимость</w:t>
            </w:r>
          </w:p>
        </w:tc>
        <w:tc>
          <w:tcPr>
            <w:tcW w:w="678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2765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83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1079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653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</w:r>
          </w:p>
        </w:tc>
        <w:tc>
          <w:tcPr>
            <w:tcW w:w="1022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</w:r>
          </w:p>
        </w:tc>
        <w:tc>
          <w:tcPr>
            <w:tcW w:w="1064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</w:r>
          </w:p>
        </w:tc>
        <w:tc>
          <w:tcPr>
            <w:tcW w:w="653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1023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498" w:type="dxa"/>
            <w:tcBorders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675" w:type="dxa"/>
            <w:tcBorders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2201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</w:tr>
      <w:tr>
        <w:trPr>
          <w:trHeight w:val="255" w:hRule="atLeast"/>
        </w:trPr>
        <w:tc>
          <w:tcPr>
            <w:tcW w:w="1110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129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678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765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</w:r>
          </w:p>
        </w:tc>
        <w:tc>
          <w:tcPr>
            <w:tcW w:w="833" w:type="dxa"/>
            <w:tcBorders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</w:r>
          </w:p>
        </w:tc>
        <w:tc>
          <w:tcPr>
            <w:tcW w:w="1079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</w:r>
          </w:p>
        </w:tc>
        <w:tc>
          <w:tcPr>
            <w:tcW w:w="653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1022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1064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653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1023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498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675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2201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</w:tr>
      <w:tr>
        <w:trPr>
          <w:trHeight w:val="255" w:hRule="atLeast"/>
        </w:trPr>
        <w:tc>
          <w:tcPr>
            <w:tcW w:w="1110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129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строительных работ</w:t>
            </w:r>
          </w:p>
        </w:tc>
        <w:tc>
          <w:tcPr>
            <w:tcW w:w="678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765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3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1079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3392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Средства на оплату труда рабочих</w:t>
            </w:r>
          </w:p>
        </w:tc>
        <w:tc>
          <w:tcPr>
            <w:tcW w:w="1023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498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675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20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тыс.руб.</w:t>
            </w:r>
          </w:p>
        </w:tc>
      </w:tr>
      <w:tr>
        <w:trPr>
          <w:trHeight w:val="255" w:hRule="atLeast"/>
        </w:trPr>
        <w:tc>
          <w:tcPr>
            <w:tcW w:w="1110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29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монтажных работ</w:t>
            </w:r>
          </w:p>
        </w:tc>
        <w:tc>
          <w:tcPr>
            <w:tcW w:w="678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765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3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1079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3392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Нормативные затраты труда рабочих</w:t>
            </w:r>
          </w:p>
        </w:tc>
        <w:tc>
          <w:tcPr>
            <w:tcW w:w="1023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498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675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201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чел.час.</w:t>
            </w:r>
          </w:p>
        </w:tc>
      </w:tr>
      <w:tr>
        <w:trPr>
          <w:trHeight w:val="255" w:hRule="atLeast"/>
        </w:trPr>
        <w:tc>
          <w:tcPr>
            <w:tcW w:w="1110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29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оборудования</w:t>
            </w:r>
          </w:p>
        </w:tc>
        <w:tc>
          <w:tcPr>
            <w:tcW w:w="678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765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3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1079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3392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Нормативные затраты труда машинистов</w:t>
            </w:r>
          </w:p>
        </w:tc>
        <w:tc>
          <w:tcPr>
            <w:tcW w:w="1023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498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675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201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чел.час.</w:t>
            </w:r>
          </w:p>
        </w:tc>
      </w:tr>
      <w:tr>
        <w:trPr>
          <w:trHeight w:val="255" w:hRule="atLeast"/>
        </w:trPr>
        <w:tc>
          <w:tcPr>
            <w:tcW w:w="1110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29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прочих затрат</w:t>
            </w:r>
          </w:p>
        </w:tc>
        <w:tc>
          <w:tcPr>
            <w:tcW w:w="678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765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3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1079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4415" w:type="dxa"/>
            <w:gridSpan w:val="5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Расчетный измеритель конструктивного решения</w:t>
            </w:r>
          </w:p>
        </w:tc>
        <w:tc>
          <w:tcPr>
            <w:tcW w:w="1173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201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</w:tr>
      <w:tr>
        <w:trPr>
          <w:trHeight w:val="195" w:hRule="atLeast"/>
        </w:trPr>
        <w:tc>
          <w:tcPr>
            <w:tcW w:w="1110" w:type="dxa"/>
            <w:tcBorders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</w:r>
          </w:p>
        </w:tc>
        <w:tc>
          <w:tcPr>
            <w:tcW w:w="1295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</w:r>
          </w:p>
        </w:tc>
        <w:tc>
          <w:tcPr>
            <w:tcW w:w="678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</w:r>
          </w:p>
        </w:tc>
        <w:tc>
          <w:tcPr>
            <w:tcW w:w="2765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833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1079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653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1022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1064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653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1023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498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675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2201" w:type="dxa"/>
            <w:tcBorders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</w:tr>
      <w:tr>
        <w:trPr>
          <w:trHeight w:val="720" w:hRule="atLeast"/>
        </w:trPr>
        <w:tc>
          <w:tcPr>
            <w:tcW w:w="11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№</w:t>
            </w:r>
            <w:r>
              <w:rPr>
                <w:rFonts w:eastAsia="Arial" w:cs="Arial" w:ascii="Arial" w:hAnsi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cs="Arial" w:ascii="Arial" w:hAnsi="Arial"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12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Обоснование</w:t>
            </w:r>
          </w:p>
        </w:tc>
        <w:tc>
          <w:tcPr>
            <w:tcW w:w="427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Наименование работ и затрат</w:t>
            </w:r>
          </w:p>
        </w:tc>
        <w:tc>
          <w:tcPr>
            <w:tcW w:w="10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Единица измерения</w:t>
            </w:r>
          </w:p>
        </w:tc>
        <w:tc>
          <w:tcPr>
            <w:tcW w:w="273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Количество</w:t>
            </w:r>
          </w:p>
        </w:tc>
        <w:tc>
          <w:tcPr>
            <w:tcW w:w="217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Сметная стоимость в базисном уровне цен (в текущем уровне цен (гр. 8) для ресурсов, отсутствующих в СНБ), руб.</w:t>
            </w:r>
          </w:p>
        </w:tc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Индексы</w:t>
            </w:r>
          </w:p>
        </w:tc>
        <w:tc>
          <w:tcPr>
            <w:tcW w:w="22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Сметная стоимость в текущем уровне цен, руб.</w:t>
            </w:r>
          </w:p>
        </w:tc>
      </w:tr>
      <w:tr>
        <w:trPr>
          <w:trHeight w:val="735" w:hRule="atLeast"/>
        </w:trPr>
        <w:tc>
          <w:tcPr>
            <w:tcW w:w="11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29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4276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07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73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174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67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2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</w:tr>
      <w:tr>
        <w:trPr>
          <w:trHeight w:val="900" w:hRule="atLeast"/>
        </w:trPr>
        <w:tc>
          <w:tcPr>
            <w:tcW w:w="11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29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4276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07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65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на единицу</w:t>
            </w:r>
          </w:p>
        </w:tc>
        <w:tc>
          <w:tcPr>
            <w:tcW w:w="102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коэффициенты</w:t>
            </w:r>
          </w:p>
        </w:tc>
        <w:tc>
          <w:tcPr>
            <w:tcW w:w="106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всего с учетом коэффициентов</w:t>
            </w:r>
          </w:p>
        </w:tc>
        <w:tc>
          <w:tcPr>
            <w:tcW w:w="65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на единицу</w:t>
            </w:r>
          </w:p>
        </w:tc>
        <w:tc>
          <w:tcPr>
            <w:tcW w:w="102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коэффициенты</w:t>
            </w:r>
          </w:p>
        </w:tc>
        <w:tc>
          <w:tcPr>
            <w:tcW w:w="49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67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2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</w:tr>
      <w:tr>
        <w:trPr>
          <w:trHeight w:val="225" w:hRule="atLeast"/>
        </w:trPr>
        <w:tc>
          <w:tcPr>
            <w:tcW w:w="1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9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76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65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2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06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65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02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49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7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20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12</w:t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ind w:left="6373" w:right="0" w:hanging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ind w:left="6373" w:right="0" w:hanging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p>
      <w:pPr>
        <w:sectPr>
          <w:headerReference w:type="default" r:id="rId19"/>
          <w:headerReference w:type="first" r:id="rId20"/>
          <w:footerReference w:type="default" r:id="rId21"/>
          <w:footerReference w:type="first" r:id="rId22"/>
          <w:type w:val="nextPage"/>
          <w:pgSz w:orient="landscape" w:w="16838" w:h="11906"/>
          <w:pgMar w:left="720" w:right="568" w:gutter="0" w:header="0" w:top="993" w:footer="709" w:bottom="924"/>
          <w:pgNumType w:fmt="decimal"/>
          <w:formProt w:val="false"/>
          <w:textDirection w:val="lrTb"/>
          <w:docGrid w:type="default" w:linePitch="360" w:charSpace="0"/>
        </w:sectPr>
        <w:pStyle w:val="Normal"/>
        <w:spacing w:lineRule="auto" w:line="240" w:before="0" w:after="0"/>
        <w:ind w:left="6373" w:right="0" w:hanging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</w:t>
      </w:r>
      <w:r>
        <w:rPr>
          <w:rFonts w:cs="Times New Roman"/>
          <w:sz w:val="20"/>
          <w:szCs w:val="20"/>
        </w:rPr>
        <w:t>Приложение №3</w:t>
      </w:r>
    </w:p>
    <w:p>
      <w:pPr>
        <w:pStyle w:val="Normal"/>
        <w:spacing w:lineRule="auto" w:line="240" w:before="0" w:after="0"/>
        <w:ind w:left="5811" w:right="0" w:hanging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0"/>
        </w:rPr>
        <w:t xml:space="preserve">к Требованиям к оформлению и составлению сметной документации </w:t>
      </w:r>
      <w:r>
        <w:rPr>
          <w:rFonts w:cs="Times New Roman"/>
          <w:color w:val="000000"/>
          <w:sz w:val="20"/>
          <w:szCs w:val="20"/>
        </w:rPr>
        <w:t>на выполнение строительно-монтажных работ</w:t>
      </w:r>
      <w:r>
        <w:rPr>
          <w:rFonts w:cs="Times New Roman"/>
          <w:color w:val="000000"/>
          <w:sz w:val="20"/>
        </w:rPr>
        <w:t xml:space="preserve"> по программе реконструкции и техническому перевооружению.</w:t>
      </w:r>
    </w:p>
    <w:p>
      <w:pPr>
        <w:pStyle w:val="Normal"/>
        <w:spacing w:lineRule="auto" w:line="240" w:before="0" w:after="0"/>
        <w:ind w:left="5811" w:right="0" w:hanging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b/>
        </w:rPr>
        <w:t xml:space="preserve">Образец расчета командировочных расходов </w:t>
      </w:r>
    </w:p>
    <w:p>
      <w:pPr>
        <w:pStyle w:val="Normal"/>
        <w:spacing w:lineRule="auto" w:line="240" w:before="0" w:after="0"/>
        <w:ind w:left="0" w:right="0" w:hanging="567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</w:rPr>
        <w:t>Приложение № __ к смете № __</w:t>
      </w:r>
    </w:p>
    <w:p>
      <w:pPr>
        <w:pStyle w:val="Normal"/>
        <w:spacing w:lineRule="auto" w:line="240" w:before="0" w:after="0"/>
        <w:ind w:left="6373" w:right="0" w:hanging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ind w:left="0" w:right="0" w:hanging="567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b/>
        </w:rPr>
        <w:t>Расчет командировочных расходов</w:t>
      </w:r>
    </w:p>
    <w:p>
      <w:pPr>
        <w:pStyle w:val="Normal"/>
        <w:spacing w:lineRule="auto" w:line="240" w:before="0" w:after="0"/>
        <w:ind w:left="6373" w:right="0" w:hanging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tbl>
      <w:tblPr>
        <w:tblW w:w="10500" w:type="dxa"/>
        <w:jc w:val="center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36"/>
        <w:gridCol w:w="1488"/>
        <w:gridCol w:w="1373"/>
        <w:gridCol w:w="1486"/>
        <w:gridCol w:w="1378"/>
        <w:gridCol w:w="1058"/>
        <w:gridCol w:w="1129"/>
        <w:gridCol w:w="1083"/>
        <w:gridCol w:w="968"/>
      </w:tblGrid>
      <w:tr>
        <w:trPr/>
        <w:tc>
          <w:tcPr>
            <w:tcW w:w="5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№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п/п</w:t>
            </w:r>
          </w:p>
        </w:tc>
        <w:tc>
          <w:tcPr>
            <w:tcW w:w="1488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  <w:t>Пункт назначения</w:t>
            </w:r>
          </w:p>
        </w:tc>
        <w:tc>
          <w:tcPr>
            <w:tcW w:w="1373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  <w:t>Количество специалистов</w:t>
            </w:r>
          </w:p>
        </w:tc>
        <w:tc>
          <w:tcPr>
            <w:tcW w:w="1486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  <w:t>Проезд к месту командировки (туда и обратно)</w:t>
            </w:r>
          </w:p>
        </w:tc>
        <w:tc>
          <w:tcPr>
            <w:tcW w:w="1378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  <w:t>Проживание в номере</w:t>
            </w:r>
          </w:p>
          <w:p>
            <w:pPr>
              <w:pStyle w:val="Normal"/>
              <w:widowControl w:val="false"/>
              <w:spacing w:lineRule="auto" w:line="240" w:before="280" w:after="2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  <w:t>гостиницы класса «3 звезды»,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  <w:t>1 чел/сутки.</w:t>
            </w:r>
          </w:p>
        </w:tc>
        <w:tc>
          <w:tcPr>
            <w:tcW w:w="1058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  <w:t>Суточныe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cs="Times New Roman"/>
              </w:rPr>
              <w:t> </w:t>
            </w:r>
            <w:r>
              <w:rPr>
                <w:rFonts w:cs="Times New Roman"/>
              </w:rPr>
              <w:t>1 сутки/руб.</w:t>
            </w:r>
          </w:p>
        </w:tc>
        <w:tc>
          <w:tcPr>
            <w:tcW w:w="1129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  <w:t>Продолжи-тельность</w:t>
            </w:r>
          </w:p>
          <w:p>
            <w:pPr>
              <w:pStyle w:val="Normal"/>
              <w:widowControl w:val="false"/>
              <w:spacing w:lineRule="auto" w:line="240" w:before="280" w:after="2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  <w:t>команди</w:t>
            </w:r>
          </w:p>
          <w:p>
            <w:pPr>
              <w:pStyle w:val="Normal"/>
              <w:widowControl w:val="false"/>
              <w:spacing w:lineRule="auto" w:line="240" w:before="280" w:after="2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  <w:t>ровки,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  <w:t>сутки</w:t>
            </w:r>
          </w:p>
        </w:tc>
        <w:tc>
          <w:tcPr>
            <w:tcW w:w="1083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  <w:t>Продол- житель</w:t>
            </w:r>
          </w:p>
          <w:p>
            <w:pPr>
              <w:pStyle w:val="Normal"/>
              <w:widowControl w:val="false"/>
              <w:spacing w:lineRule="auto" w:line="240" w:before="280" w:after="2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  <w:t>ность прожив</w:t>
            </w:r>
          </w:p>
          <w:p>
            <w:pPr>
              <w:pStyle w:val="Normal"/>
              <w:widowControl w:val="false"/>
              <w:spacing w:lineRule="auto" w:line="240" w:before="280" w:after="2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  <w:t>ания в гостинице,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  <w:t>сутки</w:t>
            </w:r>
          </w:p>
        </w:tc>
        <w:tc>
          <w:tcPr>
            <w:tcW w:w="968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  <w:t>Итого затрат, рубли</w:t>
            </w:r>
          </w:p>
        </w:tc>
      </w:tr>
      <w:tr>
        <w:trPr/>
        <w:tc>
          <w:tcPr>
            <w:tcW w:w="5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488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  <w:t>2</w:t>
            </w:r>
          </w:p>
        </w:tc>
        <w:tc>
          <w:tcPr>
            <w:tcW w:w="1373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  <w:t>3</w:t>
            </w:r>
          </w:p>
        </w:tc>
        <w:tc>
          <w:tcPr>
            <w:tcW w:w="1486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  <w:t>4</w:t>
            </w:r>
          </w:p>
        </w:tc>
        <w:tc>
          <w:tcPr>
            <w:tcW w:w="1378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  <w:t>5</w:t>
            </w:r>
          </w:p>
        </w:tc>
        <w:tc>
          <w:tcPr>
            <w:tcW w:w="1058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  <w:t>6</w:t>
            </w:r>
          </w:p>
        </w:tc>
        <w:tc>
          <w:tcPr>
            <w:tcW w:w="1129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  <w:t>7</w:t>
            </w:r>
          </w:p>
        </w:tc>
        <w:tc>
          <w:tcPr>
            <w:tcW w:w="1083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  <w:t>8</w:t>
            </w:r>
          </w:p>
        </w:tc>
        <w:tc>
          <w:tcPr>
            <w:tcW w:w="968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  <w:t>9</w:t>
            </w:r>
          </w:p>
        </w:tc>
      </w:tr>
      <w:tr>
        <w:trPr/>
        <w:tc>
          <w:tcPr>
            <w:tcW w:w="5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1488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</w:r>
          </w:p>
        </w:tc>
        <w:tc>
          <w:tcPr>
            <w:tcW w:w="1373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</w:r>
          </w:p>
        </w:tc>
        <w:tc>
          <w:tcPr>
            <w:tcW w:w="1486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</w:r>
          </w:p>
        </w:tc>
        <w:tc>
          <w:tcPr>
            <w:tcW w:w="1378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</w:r>
          </w:p>
        </w:tc>
        <w:tc>
          <w:tcPr>
            <w:tcW w:w="1058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</w:r>
          </w:p>
        </w:tc>
        <w:tc>
          <w:tcPr>
            <w:tcW w:w="1129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</w:r>
          </w:p>
        </w:tc>
        <w:tc>
          <w:tcPr>
            <w:tcW w:w="1083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</w:r>
          </w:p>
        </w:tc>
        <w:tc>
          <w:tcPr>
            <w:tcW w:w="968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</w:r>
          </w:p>
        </w:tc>
      </w:tr>
      <w:tr>
        <w:trPr/>
        <w:tc>
          <w:tcPr>
            <w:tcW w:w="5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1488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</w:r>
          </w:p>
        </w:tc>
        <w:tc>
          <w:tcPr>
            <w:tcW w:w="1373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</w:r>
          </w:p>
        </w:tc>
        <w:tc>
          <w:tcPr>
            <w:tcW w:w="1486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</w:r>
          </w:p>
        </w:tc>
        <w:tc>
          <w:tcPr>
            <w:tcW w:w="1378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</w:r>
          </w:p>
        </w:tc>
        <w:tc>
          <w:tcPr>
            <w:tcW w:w="1058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</w:r>
          </w:p>
        </w:tc>
        <w:tc>
          <w:tcPr>
            <w:tcW w:w="1129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</w:r>
          </w:p>
        </w:tc>
        <w:tc>
          <w:tcPr>
            <w:tcW w:w="1083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</w:r>
          </w:p>
        </w:tc>
        <w:tc>
          <w:tcPr>
            <w:tcW w:w="968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</w:r>
          </w:p>
        </w:tc>
      </w:tr>
      <w:tr>
        <w:trPr/>
        <w:tc>
          <w:tcPr>
            <w:tcW w:w="5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1488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</w:r>
          </w:p>
        </w:tc>
        <w:tc>
          <w:tcPr>
            <w:tcW w:w="1373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</w:r>
          </w:p>
        </w:tc>
        <w:tc>
          <w:tcPr>
            <w:tcW w:w="1486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</w:r>
          </w:p>
        </w:tc>
        <w:tc>
          <w:tcPr>
            <w:tcW w:w="1378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</w:r>
          </w:p>
        </w:tc>
        <w:tc>
          <w:tcPr>
            <w:tcW w:w="1058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</w:r>
          </w:p>
        </w:tc>
        <w:tc>
          <w:tcPr>
            <w:tcW w:w="1129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</w:r>
          </w:p>
        </w:tc>
        <w:tc>
          <w:tcPr>
            <w:tcW w:w="1083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</w:r>
          </w:p>
        </w:tc>
        <w:tc>
          <w:tcPr>
            <w:tcW w:w="968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</w:r>
          </w:p>
        </w:tc>
      </w:tr>
      <w:tr>
        <w:trPr/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14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</w:r>
          </w:p>
        </w:tc>
        <w:tc>
          <w:tcPr>
            <w:tcW w:w="13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</w:r>
          </w:p>
        </w:tc>
        <w:tc>
          <w:tcPr>
            <w:tcW w:w="14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</w:r>
          </w:p>
        </w:tc>
        <w:tc>
          <w:tcPr>
            <w:tcW w:w="13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</w:r>
          </w:p>
        </w:tc>
        <w:tc>
          <w:tcPr>
            <w:tcW w:w="105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</w:r>
          </w:p>
        </w:tc>
        <w:tc>
          <w:tcPr>
            <w:tcW w:w="11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</w:r>
          </w:p>
        </w:tc>
        <w:tc>
          <w:tcPr>
            <w:tcW w:w="10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</w:r>
          </w:p>
        </w:tc>
        <w:tc>
          <w:tcPr>
            <w:tcW w:w="9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</w:r>
          </w:p>
        </w:tc>
      </w:tr>
      <w:tr>
        <w:trPr/>
        <w:tc>
          <w:tcPr>
            <w:tcW w:w="536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1488" w:type="dxa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</w:r>
          </w:p>
        </w:tc>
        <w:tc>
          <w:tcPr>
            <w:tcW w:w="1373" w:type="dxa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</w:r>
          </w:p>
        </w:tc>
        <w:tc>
          <w:tcPr>
            <w:tcW w:w="1486" w:type="dxa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</w:r>
          </w:p>
        </w:tc>
        <w:tc>
          <w:tcPr>
            <w:tcW w:w="1378" w:type="dxa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</w:r>
          </w:p>
        </w:tc>
        <w:tc>
          <w:tcPr>
            <w:tcW w:w="1058" w:type="dxa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</w:r>
          </w:p>
        </w:tc>
        <w:tc>
          <w:tcPr>
            <w:tcW w:w="1129" w:type="dxa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</w:r>
          </w:p>
        </w:tc>
        <w:tc>
          <w:tcPr>
            <w:tcW w:w="1083" w:type="dxa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</w:r>
          </w:p>
        </w:tc>
        <w:tc>
          <w:tcPr>
            <w:tcW w:w="968" w:type="dxa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</w:r>
          </w:p>
        </w:tc>
      </w:tr>
      <w:tr>
        <w:trPr/>
        <w:tc>
          <w:tcPr>
            <w:tcW w:w="33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  <w:t>Итого по сметному расчету</w:t>
            </w:r>
          </w:p>
        </w:tc>
        <w:tc>
          <w:tcPr>
            <w:tcW w:w="14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</w:r>
          </w:p>
        </w:tc>
        <w:tc>
          <w:tcPr>
            <w:tcW w:w="13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</w:r>
          </w:p>
        </w:tc>
        <w:tc>
          <w:tcPr>
            <w:tcW w:w="105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</w:r>
          </w:p>
        </w:tc>
        <w:tc>
          <w:tcPr>
            <w:tcW w:w="11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</w:r>
          </w:p>
        </w:tc>
        <w:tc>
          <w:tcPr>
            <w:tcW w:w="10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</w:r>
          </w:p>
        </w:tc>
        <w:tc>
          <w:tcPr>
            <w:tcW w:w="9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</w:r>
          </w:p>
        </w:tc>
      </w:tr>
    </w:tbl>
    <w:p>
      <w:pPr>
        <w:pStyle w:val="Normal"/>
        <w:spacing w:lineRule="auto" w:line="240" w:before="0" w:after="0"/>
        <w:ind w:left="6373" w:right="0" w:hanging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ind w:left="6373" w:right="0" w:hanging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ind w:left="6373" w:right="0" w:hanging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ind w:left="6373" w:right="0" w:hanging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ind w:left="6373" w:right="0" w:hanging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ind w:left="6373" w:right="0" w:hanging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ind w:left="6373" w:right="0" w:hanging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p>
      <w:pPr>
        <w:pStyle w:val="Normal"/>
        <w:spacing w:before="0" w:after="200"/>
        <w:rPr>
          <w:rFonts w:ascii="Times New Roman" w:hAnsi="Times New Roman" w:cs="Times New Roman"/>
          <w:color w:val="000000"/>
          <w:sz w:val="28"/>
          <w:szCs w:val="28"/>
        </w:rPr>
      </w:pPr>
      <w:r>
        <w:rPr/>
      </w:r>
    </w:p>
    <w:sectPr>
      <w:headerReference w:type="default" r:id="rId23"/>
      <w:headerReference w:type="first" r:id="rId24"/>
      <w:footerReference w:type="default" r:id="rId25"/>
      <w:footerReference w:type="first" r:id="rId26"/>
      <w:type w:val="nextPage"/>
      <w:pgSz w:w="11906" w:h="16838"/>
      <w:pgMar w:left="1276" w:right="709" w:gutter="0" w:header="0" w:top="709" w:footer="709" w:bottom="766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Calibri">
    <w:charset w:val="01"/>
    <w:family w:val="roman"/>
    <w:pitch w:val="variable"/>
  </w:font>
  <w:font w:name="Symbol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ahoma">
    <w:charset w:val="01"/>
    <w:family w:val="roman"/>
    <w:pitch w:val="variable"/>
  </w:font>
  <w:font w:name="Arial Unicode MS"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Symbol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35</w:t>
    </w:r>
    <w:r>
      <w:rPr/>
      <w:fldChar w:fldCharType="end"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37</w:t>
    </w:r>
    <w:r>
      <w:rPr/>
      <w:fldChar w:fldCharType="end"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39</w:t>
    </w:r>
    <w:r>
      <w:rPr/>
      <w:fldChar w:fldCharType="end"/>
    </w:r>
  </w:p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/>
    </w:pPr>
    <w:r>
      <w:rPr/>
    </w:r>
  </w:p>
</w:ftr>
</file>

<file path=word/footer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Head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Head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10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/>
    </w:pPr>
    <w:r>
      <w:rPr/>
    </w:r>
  </w:p>
</w:hdr>
</file>

<file path=word/header1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1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/>
    </w:pPr>
    <w:r>
      <w:rPr/>
    </w:r>
  </w:p>
</w:hdr>
</file>

<file path=word/header1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1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/>
    </w:pPr>
    <w:r>
      <w:rPr/>
    </w:r>
  </w:p>
</w:hdr>
</file>

<file path=word/header1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16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/>
    </w:pPr>
    <w:r>
      <w:rPr/>
    </w:r>
  </w:p>
</w:hdr>
</file>

<file path=word/header17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4</w:t>
    </w:r>
    <w:r>
      <w:rPr/>
      <w:fldChar w:fldCharType="end"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  <w:p>
    <w:pPr>
      <w:pStyle w:val="Header"/>
      <w:rPr/>
    </w:pPr>
    <w:r>
      <w:rPr/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10</w:t>
    </w:r>
    <w:r>
      <w:rPr/>
      <w:fldChar w:fldCharType="end"/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  <w:p>
    <w:pPr>
      <w:pStyle w:val="Header"/>
      <w:rPr/>
    </w:pPr>
    <w:r>
      <w:rPr/>
    </w:r>
  </w:p>
</w:hdr>
</file>

<file path=word/header6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24</w:t>
    </w:r>
    <w:r>
      <w:rPr/>
      <w:fldChar w:fldCharType="end"/>
    </w:r>
  </w:p>
</w:hdr>
</file>

<file path=word/header7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  <w:p>
    <w:pPr>
      <w:pStyle w:val="Header"/>
      <w:rPr/>
    </w:pPr>
    <w:r>
      <w:rPr/>
    </w:r>
  </w:p>
</w:hdr>
</file>

<file path=word/header8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31</w:t>
    </w:r>
    <w:r>
      <w:rPr/>
      <w:fldChar w:fldCharType="end"/>
    </w:r>
  </w:p>
</w:hdr>
</file>

<file path=word/header9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hanging="0"/>
      </w:pPr>
      <w:rPr/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hanging="0"/>
      </w:pPr>
      <w:rPr/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hanging="0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hanging="0"/>
      </w:pPr>
      <w:rPr/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hanging="0"/>
      </w:pPr>
      <w:rPr/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hanging="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hanging="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hanging="0"/>
      </w:pPr>
      <w:rPr/>
    </w:lvl>
  </w:abstractNum>
  <w:abstractNum w:abstractNumId="2">
    <w:lvl w:ilvl="0">
      <w:start w:val="4"/>
      <w:numFmt w:val="bullet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/>
        <w:kern w:val="0"/>
        <w:effect w:val="none"/>
        <w:szCs w:val="28"/>
        <w:iCs w:val="false"/>
        <w:bCs w:val="false"/>
        <w:em w:val="none"/>
        <w:vanish w:val="false"/>
        <w:rFonts w:ascii="Times New Roman" w:hAnsi="Times New Roman" w:cs="Times New Roman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i w:val="false"/>
        <w:b/>
        <w:szCs w:val="22"/>
        <w:iCs w:val="false"/>
        <w:bCs w:val="false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hanging="504"/>
      </w:pPr>
      <w:rPr>
        <w:i w:val="false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  <w:rPr/>
    </w:lvl>
    <w:lvl w:ilvl="3">
      <w:start w:val="1"/>
      <w:numFmt w:val="russianLower"/>
      <w:lvlText w:val="(%4)"/>
      <w:lvlJc w:val="left"/>
      <w:pPr>
        <w:tabs>
          <w:tab w:val="num" w:pos="0"/>
        </w:tabs>
        <w:ind w:left="1985" w:hanging="567"/>
      </w:pPr>
      <w:rPr/>
    </w:lvl>
    <w:lvl w:ilvl="4">
      <w:start w:val="1"/>
      <w:numFmt w:val="bullet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701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</w:abstractNum>
  <w:abstractNum w:abstractNumId="5">
    <w:lvl w:ilvl="0">
      <w:start w:val="1"/>
      <w:numFmt w:val="decimal"/>
      <w:lvlText w:val="1.%1"/>
      <w:lvlJc w:val="left"/>
      <w:pPr>
        <w:tabs>
          <w:tab w:val="num" w:pos="0"/>
        </w:tabs>
        <w:ind w:left="1429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  <w:i w:val="false"/>
        <w:b w:val="false"/>
        <w:szCs w:val="24"/>
        <w:iCs w:val="false"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49" w:hanging="432"/>
      </w:pPr>
      <w:rPr>
        <w:sz w:val="24"/>
        <w:i w:val="false"/>
        <w:b w:val="false"/>
        <w:szCs w:val="24"/>
        <w:iCs w:val="false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sz w:val="24"/>
        <w:i w:val="false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7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i/>
        <w:i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10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i w:val="false"/>
        <w:b w:val="fals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11">
    <w:lvl w:ilvl="0">
      <w:start w:val="4"/>
      <w:numFmt w:val="decimal"/>
      <w:lvlText w:val="%1."/>
      <w:lvlJc w:val="left"/>
      <w:pPr>
        <w:tabs>
          <w:tab w:val="num" w:pos="0"/>
        </w:tabs>
        <w:ind w:left="108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140" w:hanging="420"/>
      </w:pPr>
      <w:rPr>
        <w:b w:val="false"/>
        <w:bCs w:val="fals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1800"/>
      </w:pPr>
      <w:rPr/>
    </w:lvl>
  </w:abstractNum>
  <w:abstractNum w:abstractNumId="12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i/>
        <w:i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13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14">
    <w:lvl w:ilvl="0">
      <w:start w:val="1"/>
      <w:numFmt w:val="decimal"/>
      <w:lvlText w:val="%1."/>
      <w:lvlJc w:val="left"/>
      <w:pPr>
        <w:tabs>
          <w:tab w:val="num" w:pos="0"/>
        </w:tabs>
        <w:ind w:left="1636" w:hanging="360"/>
      </w:pPr>
      <w:rPr>
        <w:u w:val="none"/>
        <w:b w:val="false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/>
    </w:lvl>
  </w:abstractNum>
  <w:abstractNum w:abstractNumId="15">
    <w:lvl w:ilvl="0">
      <w:start w:val="1"/>
      <w:numFmt w:val="bullet"/>
      <w:lvlText w:val=""/>
      <w:lvlJc w:val="left"/>
      <w:pPr>
        <w:tabs>
          <w:tab w:val="num" w:pos="0"/>
        </w:tabs>
        <w:ind w:left="1425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16">
    <w:lvl w:ilvl="0">
      <w:start w:val="1"/>
      <w:numFmt w:val="bullet"/>
      <w:lvlText w:val=""/>
      <w:lvlJc w:val="left"/>
      <w:pPr>
        <w:tabs>
          <w:tab w:val="num" w:pos="708"/>
        </w:tabs>
        <w:ind w:left="1287" w:hanging="360"/>
      </w:pPr>
      <w:rPr>
        <w:rFonts w:ascii="Symbol" w:hAnsi="Symbol" w:cs="Symbol" w:hint="default"/>
        <w:color w:val="00000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17">
    <w:lvl w:ilvl="0">
      <w:start w:val="1"/>
      <w:numFmt w:val="bullet"/>
      <w:lvlText w:val=""/>
      <w:lvlJc w:val="left"/>
      <w:pPr>
        <w:tabs>
          <w:tab w:val="num" w:pos="708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18">
    <w:lvl w:ilvl="0">
      <w:start w:val="1"/>
      <w:numFmt w:val="bullet"/>
      <w:lvlText w:val=""/>
      <w:lvlJc w:val="left"/>
      <w:pPr>
        <w:tabs>
          <w:tab w:val="num" w:pos="708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19">
    <w:lvl w:ilvl="0">
      <w:start w:val="1"/>
      <w:numFmt w:val="bullet"/>
      <w:lvlText w:val=""/>
      <w:lvlJc w:val="left"/>
      <w:pPr>
        <w:tabs>
          <w:tab w:val="num" w:pos="0"/>
        </w:tabs>
        <w:ind w:left="1647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0">
    <w:lvl w:ilvl="0">
      <w:start w:val="1"/>
      <w:numFmt w:val="bullet"/>
      <w:lvlText w:val=""/>
      <w:lvlJc w:val="left"/>
      <w:pPr>
        <w:tabs>
          <w:tab w:val="num" w:pos="708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1">
    <w:lvl w:ilvl="0">
      <w:start w:val="1"/>
      <w:numFmt w:val="bullet"/>
      <w:lvlText w:val=""/>
      <w:lvlJc w:val="left"/>
      <w:pPr>
        <w:tabs>
          <w:tab w:val="num" w:pos="0"/>
        </w:tabs>
        <w:ind w:left="2356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2">
    <w:lvl w:ilvl="0">
      <w:start w:val="1"/>
      <w:numFmt w:val="bullet"/>
      <w:lvlText w:val=""/>
      <w:lvlJc w:val="left"/>
      <w:pPr>
        <w:tabs>
          <w:tab w:val="num" w:pos="0"/>
        </w:tabs>
        <w:ind w:left="1992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3">
    <w:lvl w:ilvl="0">
      <w:start w:val="1"/>
      <w:numFmt w:val="bullet"/>
      <w:lvlText w:val=""/>
      <w:lvlJc w:val="left"/>
      <w:pPr>
        <w:tabs>
          <w:tab w:val="num" w:pos="0"/>
        </w:tabs>
        <w:ind w:left="12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eastAsia="Calibri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</w:numbering>
</file>

<file path=word/settings.xml><?xml version="1.0" encoding="utf-8"?>
<w:settings xmlns:w="http://schemas.openxmlformats.org/wordprocessingml/2006/main">
  <w:zoom w:percent="97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uiPriority="99" w:semiHidden="1" w:unhideWhenUsed="1"/>
    <w:lsdException w:name="annotation text" w:uiPriority="99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99" w:semiHidden="1" w:unhideWhenUsed="1"/>
    <w:lsdException w:name="annotation reference" w:uiPriority="99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uiPriority="99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6014f1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Heading1">
    <w:name w:val="Heading 1"/>
    <w:basedOn w:val="Heading3"/>
    <w:next w:val="Normal"/>
    <w:link w:val="1"/>
    <w:qFormat/>
    <w:rsid w:val="00353a27"/>
    <w:pPr>
      <w:outlineLvl w:val="0"/>
    </w:pPr>
    <w:rPr>
      <w:sz w:val="28"/>
      <w:szCs w:val="28"/>
    </w:rPr>
  </w:style>
  <w:style w:type="paragraph" w:styleId="Heading2">
    <w:name w:val="Heading 2"/>
    <w:basedOn w:val="Heading4"/>
    <w:next w:val="Normal"/>
    <w:link w:val="2"/>
    <w:qFormat/>
    <w:rsid w:val="00ea61a8"/>
    <w:pPr>
      <w:outlineLvl w:val="1"/>
    </w:pPr>
    <w:rPr/>
  </w:style>
  <w:style w:type="paragraph" w:styleId="Heading3">
    <w:name w:val="Heading 3"/>
    <w:basedOn w:val="Normal"/>
    <w:next w:val="Normal"/>
    <w:link w:val="3"/>
    <w:autoRedefine/>
    <w:qFormat/>
    <w:rsid w:val="00310749"/>
    <w:pPr>
      <w:keepNext w:val="true"/>
      <w:tabs>
        <w:tab w:val="clear" w:pos="708"/>
        <w:tab w:val="left" w:pos="0" w:leader="none"/>
      </w:tabs>
      <w:spacing w:before="120" w:after="60"/>
      <w:ind w:left="709" w:hanging="709"/>
      <w:jc w:val="both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Heading4">
    <w:name w:val="Heading 4"/>
    <w:basedOn w:val="Heading3"/>
    <w:next w:val="Normal"/>
    <w:link w:val="4"/>
    <w:qFormat/>
    <w:rsid w:val="006629c9"/>
    <w:pPr>
      <w:outlineLvl w:val="3"/>
    </w:pPr>
    <w:rPr>
      <w:bCs/>
    </w:rPr>
  </w:style>
  <w:style w:type="paragraph" w:styleId="Heading5">
    <w:name w:val="Heading 5"/>
    <w:basedOn w:val="Normal"/>
    <w:next w:val="Normal"/>
    <w:link w:val="5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6"/>
    <w:uiPriority w:val="9"/>
    <w:qFormat/>
    <w:rsid w:val="00d22f6d"/>
    <w:pPr>
      <w:keepNext w:val="true"/>
      <w:keepLines/>
      <w:spacing w:before="200" w:after="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7"/>
    <w:uiPriority w:val="9"/>
    <w:qFormat/>
    <w:rsid w:val="00d22f6d"/>
    <w:pPr>
      <w:keepNext w:val="true"/>
      <w:keepLines/>
      <w:spacing w:before="200" w:after="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8"/>
    <w:uiPriority w:val="9"/>
    <w:qFormat/>
    <w:rsid w:val="00d22f6d"/>
    <w:pPr>
      <w:keepNext w:val="true"/>
      <w:keepLines/>
      <w:spacing w:before="200" w:after="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9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" w:customStyle="1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 w:customStyle="1">
    <w:name w:val="Footnote Characters"/>
    <w:uiPriority w:val="99"/>
    <w:qFormat/>
    <w:rsid w:val="00d561d9"/>
    <w:rPr>
      <w:vertAlign w:val="superscript"/>
    </w:rPr>
  </w:style>
  <w:style w:type="character" w:styleId="Pagenumber">
    <w:name w:val="page number"/>
    <w:basedOn w:val="DefaultParagraphFont"/>
    <w:qFormat/>
    <w:rsid w:val="006c2f3f"/>
    <w:rPr/>
  </w:style>
  <w:style w:type="character" w:styleId="Hyperlink">
    <w:name w:val="Hyperlink"/>
    <w:uiPriority w:val="99"/>
    <w:rsid w:val="006c2f3f"/>
    <w:rPr>
      <w:color w:val="0000FF"/>
      <w:u w:val="single"/>
    </w:rPr>
  </w:style>
  <w:style w:type="character" w:styleId="Annotationreference">
    <w:name w:val="annotation reference"/>
    <w:uiPriority w:val="99"/>
    <w:qFormat/>
    <w:rsid w:val="00b714b0"/>
    <w:rPr>
      <w:sz w:val="16"/>
      <w:szCs w:val="16"/>
    </w:rPr>
  </w:style>
  <w:style w:type="character" w:styleId="Strong">
    <w:name w:val="Strong"/>
    <w:qFormat/>
    <w:rsid w:val="00165965"/>
    <w:rPr>
      <w:b/>
      <w:bCs/>
    </w:rPr>
  </w:style>
  <w:style w:type="character" w:styleId="6" w:customStyle="1">
    <w:name w:val="Заголовок 6 Знак"/>
    <w:uiPriority w:val="9"/>
    <w:qFormat/>
    <w:rsid w:val="00d22f6d"/>
    <w:rPr>
      <w:rFonts w:ascii="Cambria" w:hAnsi="Cambria"/>
      <w:i/>
      <w:iCs/>
      <w:color w:val="243F60"/>
      <w:lang w:val="x-none" w:eastAsia="x-none"/>
    </w:rPr>
  </w:style>
  <w:style w:type="character" w:styleId="7" w:customStyle="1">
    <w:name w:val="Заголовок 7 Знак"/>
    <w:uiPriority w:val="9"/>
    <w:qFormat/>
    <w:rsid w:val="00d22f6d"/>
    <w:rPr>
      <w:rFonts w:ascii="Cambria" w:hAnsi="Cambria"/>
      <w:i/>
      <w:iCs/>
      <w:color w:val="404040"/>
      <w:lang w:val="x-none" w:eastAsia="x-none"/>
    </w:rPr>
  </w:style>
  <w:style w:type="character" w:styleId="8" w:customStyle="1">
    <w:name w:val="Заголовок 8 Знак"/>
    <w:uiPriority w:val="9"/>
    <w:qFormat/>
    <w:rsid w:val="00d22f6d"/>
    <w:rPr>
      <w:rFonts w:ascii="Cambria" w:hAnsi="Cambria"/>
      <w:color w:val="4F81BD"/>
      <w:lang w:val="x-none" w:eastAsia="x-none"/>
    </w:rPr>
  </w:style>
  <w:style w:type="character" w:styleId="1" w:customStyle="1">
    <w:name w:val="Заголовок 1 Знак"/>
    <w:qFormat/>
    <w:rsid w:val="00353a27"/>
    <w:rPr>
      <w:rFonts w:eastAsia="Calibri"/>
      <w:b/>
      <w:sz w:val="28"/>
      <w:szCs w:val="28"/>
      <w:lang w:val="x-none" w:eastAsia="x-none"/>
    </w:rPr>
  </w:style>
  <w:style w:type="character" w:styleId="2" w:customStyle="1">
    <w:name w:val="Заголовок 2 Знак"/>
    <w:qFormat/>
    <w:rsid w:val="00ea61a8"/>
    <w:rPr>
      <w:rFonts w:eastAsia="Calibri"/>
      <w:b/>
      <w:bCs/>
      <w:sz w:val="24"/>
      <w:szCs w:val="24"/>
      <w:lang w:val="x-none" w:eastAsia="x-none"/>
    </w:rPr>
  </w:style>
  <w:style w:type="character" w:styleId="3" w:customStyle="1">
    <w:name w:val="Заголовок 3 Знак"/>
    <w:qFormat/>
    <w:rsid w:val="00310749"/>
    <w:rPr>
      <w:rFonts w:eastAsia="Calibri"/>
      <w:b/>
      <w:sz w:val="24"/>
      <w:szCs w:val="24"/>
      <w:lang w:val="x-none" w:eastAsia="x-none"/>
    </w:rPr>
  </w:style>
  <w:style w:type="character" w:styleId="4" w:customStyle="1">
    <w:name w:val="Заголовок 4 Знак"/>
    <w:qFormat/>
    <w:rsid w:val="006629c9"/>
    <w:rPr>
      <w:rFonts w:eastAsia="Calibri"/>
      <w:b/>
      <w:bCs/>
      <w:sz w:val="24"/>
      <w:szCs w:val="24"/>
      <w:lang w:val="x-none" w:eastAsia="x-none"/>
    </w:rPr>
  </w:style>
  <w:style w:type="character" w:styleId="5" w:customStyle="1">
    <w:name w:val="Заголовок 5 Знак"/>
    <w:uiPriority w:val="9"/>
    <w:qFormat/>
    <w:rsid w:val="00d22f6d"/>
    <w:rPr>
      <w:b/>
      <w:bCs/>
      <w:i/>
      <w:iCs/>
      <w:sz w:val="26"/>
      <w:szCs w:val="26"/>
    </w:rPr>
  </w:style>
  <w:style w:type="character" w:styleId="9" w:customStyle="1">
    <w:name w:val="Заголовок 9 Знак"/>
    <w:uiPriority w:val="9"/>
    <w:qFormat/>
    <w:rsid w:val="00d22f6d"/>
    <w:rPr>
      <w:rFonts w:ascii="Arial" w:hAnsi="Arial" w:cs="Arial"/>
      <w:sz w:val="22"/>
      <w:szCs w:val="22"/>
    </w:rPr>
  </w:style>
  <w:style w:type="character" w:styleId="Style1" w:customStyle="1">
    <w:name w:val="Название Знак"/>
    <w:link w:val="14"/>
    <w:uiPriority w:val="10"/>
    <w:qFormat/>
    <w:rsid w:val="00d22f6d"/>
    <w:rPr>
      <w:sz w:val="28"/>
    </w:rPr>
  </w:style>
  <w:style w:type="character" w:styleId="Style2" w:customStyle="1">
    <w:name w:val="Подзаголовок Знак"/>
    <w:uiPriority w:val="11"/>
    <w:qFormat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Emphasis">
    <w:name w:val="Emphasis"/>
    <w:uiPriority w:val="20"/>
    <w:qFormat/>
    <w:rsid w:val="00d22f6d"/>
    <w:rPr>
      <w:i/>
      <w:iCs/>
    </w:rPr>
  </w:style>
  <w:style w:type="character" w:styleId="21" w:customStyle="1">
    <w:name w:val="Цитата 2 Знак"/>
    <w:link w:val="Quote"/>
    <w:uiPriority w:val="29"/>
    <w:qFormat/>
    <w:rsid w:val="00d22f6d"/>
    <w:rPr>
      <w:rFonts w:ascii="Calibri" w:hAnsi="Calibri" w:eastAsia="Calibri"/>
      <w:i/>
      <w:iCs/>
      <w:color w:val="000000"/>
      <w:lang w:val="x-none" w:eastAsia="x-none"/>
    </w:rPr>
  </w:style>
  <w:style w:type="character" w:styleId="Style3" w:customStyle="1">
    <w:name w:val="Выделенная цитата Знак"/>
    <w:link w:val="IntenseQuote"/>
    <w:uiPriority w:val="30"/>
    <w:qFormat/>
    <w:rsid w:val="00d22f6d"/>
    <w:rPr>
      <w:rFonts w:ascii="Calibri" w:hAnsi="Calibri" w:eastAsia="Calibri"/>
      <w:b/>
      <w:bCs/>
      <w:i/>
      <w:iCs/>
      <w:color w:val="4F81BD"/>
      <w:lang w:val="x-none" w:eastAsia="x-none"/>
    </w:rPr>
  </w:style>
  <w:style w:type="character" w:styleId="SubtleEmphasis">
    <w:name w:val="Subtle Emphasis"/>
    <w:uiPriority w:val="19"/>
    <w:qFormat/>
    <w:rsid w:val="00d22f6d"/>
    <w:rPr>
      <w:i/>
      <w:iCs/>
      <w:color w:val="808080"/>
    </w:rPr>
  </w:style>
  <w:style w:type="character" w:styleId="IntenseEmphasis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d22f6d"/>
    <w:rPr>
      <w:b/>
      <w:bCs/>
      <w:smallCaps/>
      <w:spacing w:val="5"/>
    </w:rPr>
  </w:style>
  <w:style w:type="character" w:styleId="Style4" w:customStyle="1">
    <w:name w:val="Электронная подпись Знак"/>
    <w:link w:val="E-mailSignature"/>
    <w:uiPriority w:val="99"/>
    <w:qFormat/>
    <w:rsid w:val="00d22f6d"/>
    <w:rPr>
      <w:rFonts w:eastAsia="Calibri"/>
      <w:sz w:val="24"/>
      <w:szCs w:val="24"/>
    </w:rPr>
  </w:style>
  <w:style w:type="character" w:styleId="11" w:customStyle="1">
    <w:name w:val="Подпункт Знак1"/>
    <w:link w:val="Style22"/>
    <w:qFormat/>
    <w:locked/>
    <w:rsid w:val="00d22f6d"/>
    <w:rPr>
      <w:sz w:val="28"/>
    </w:rPr>
  </w:style>
  <w:style w:type="character" w:styleId="Style5" w:customStyle="1">
    <w:name w:val="Текст сноски Знак"/>
    <w:uiPriority w:val="99"/>
    <w:qFormat/>
    <w:rsid w:val="00d22f6d"/>
    <w:rPr/>
  </w:style>
  <w:style w:type="character" w:styleId="Style6" w:customStyle="1">
    <w:name w:val="Основной текст Знак"/>
    <w:qFormat/>
    <w:rsid w:val="004459a5"/>
    <w:rPr>
      <w:sz w:val="28"/>
      <w:szCs w:val="28"/>
    </w:rPr>
  </w:style>
  <w:style w:type="character" w:styleId="Blk" w:customStyle="1">
    <w:name w:val="blk"/>
    <w:qFormat/>
    <w:rsid w:val="00431ace"/>
    <w:rPr/>
  </w:style>
  <w:style w:type="character" w:styleId="Style7" w:customStyle="1">
    <w:name w:val="Абзац списка Знак"/>
    <w:link w:val="ListParagraph"/>
    <w:uiPriority w:val="34"/>
    <w:qFormat/>
    <w:locked/>
    <w:rsid w:val="00310eb4"/>
    <w:rPr>
      <w:rFonts w:eastAsia="Calibri"/>
      <w:sz w:val="24"/>
      <w:szCs w:val="24"/>
    </w:rPr>
  </w:style>
  <w:style w:type="character" w:styleId="Style8" w:customStyle="1">
    <w:name w:val="комментарий"/>
    <w:qFormat/>
    <w:rsid w:val="0025139e"/>
    <w:rPr>
      <w:b/>
      <w:i/>
      <w:shd w:fill="FFFF99" w:val="clear"/>
    </w:rPr>
  </w:style>
  <w:style w:type="character" w:styleId="Style9" w:customStyle="1">
    <w:name w:val="Подподпункт Знак"/>
    <w:link w:val="Style30"/>
    <w:qFormat/>
    <w:locked/>
    <w:rsid w:val="0025139e"/>
    <w:rPr>
      <w:sz w:val="26"/>
      <w:szCs w:val="26"/>
    </w:rPr>
  </w:style>
  <w:style w:type="character" w:styleId="31" w:customStyle="1">
    <w:name w:val="УРОВЕНЬ_Абзац_тип3 Знак"/>
    <w:link w:val="36"/>
    <w:qFormat/>
    <w:rsid w:val="00b56f46"/>
    <w:rPr>
      <w:rFonts w:eastAsia="Calibri"/>
      <w:sz w:val="26"/>
      <w:szCs w:val="28"/>
      <w:lang w:eastAsia="en-US"/>
    </w:rPr>
  </w:style>
  <w:style w:type="character" w:styleId="Style10" w:customStyle="1">
    <w:name w:val="Верхний колонтитул Знак"/>
    <w:uiPriority w:val="99"/>
    <w:qFormat/>
    <w:rsid w:val="002f31af"/>
    <w:rPr>
      <w:sz w:val="24"/>
      <w:szCs w:val="24"/>
    </w:rPr>
  </w:style>
  <w:style w:type="character" w:styleId="Style11" w:customStyle="1">
    <w:name w:val="Текст примечания Знак"/>
    <w:link w:val="Annotationtext"/>
    <w:uiPriority w:val="99"/>
    <w:qFormat/>
    <w:rsid w:val="00dc0f7d"/>
    <w:rPr/>
  </w:style>
  <w:style w:type="character" w:styleId="Style12" w:customStyle="1">
    <w:name w:val="Текст концевой сноски Знак"/>
    <w:basedOn w:val="DefaultParagraphFont"/>
    <w:qFormat/>
    <w:rsid w:val="003879d4"/>
    <w:rPr/>
  </w:style>
  <w:style w:type="character" w:styleId="Style13" w:customStyle="1">
    <w:name w:val="Символ концевой сноски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EndnoteCharacters" w:customStyle="1">
    <w:name w:val="Endnote Characters"/>
    <w:basedOn w:val="DefaultParagraphFont"/>
    <w:qFormat/>
    <w:rsid w:val="003879d4"/>
    <w:rPr>
      <w:vertAlign w:val="superscript"/>
    </w:rPr>
  </w:style>
  <w:style w:type="character" w:styleId="22" w:customStyle="1">
    <w:name w:val="Пункт2 Знак"/>
    <w:link w:val="24"/>
    <w:qFormat/>
    <w:rsid w:val="00de52bc"/>
    <w:rPr>
      <w:b/>
      <w:sz w:val="28"/>
    </w:rPr>
  </w:style>
  <w:style w:type="character" w:styleId="12" w:customStyle="1">
    <w:name w:val="Неразрешенное упоминание1"/>
    <w:basedOn w:val="DefaultParagraphFont"/>
    <w:uiPriority w:val="99"/>
    <w:semiHidden/>
    <w:unhideWhenUsed/>
    <w:qFormat/>
    <w:rsid w:val="00796dd1"/>
    <w:rPr>
      <w:color w:val="605E5C"/>
      <w:shd w:fill="E1DFDD" w:val="clear"/>
    </w:rPr>
  </w:style>
  <w:style w:type="character" w:styleId="32" w:customStyle="1">
    <w:name w:val="Основной текст с отступом 3 Знак"/>
    <w:link w:val="BodyTextIndent3"/>
    <w:qFormat/>
    <w:rsid w:val="00413c84"/>
    <w:rPr>
      <w:sz w:val="16"/>
      <w:szCs w:val="16"/>
    </w:rPr>
  </w:style>
  <w:style w:type="character" w:styleId="Style14" w:customStyle="1">
    <w:name w:val="Ссылка указателя"/>
    <w:qFormat/>
    <w:rPr/>
  </w:style>
  <w:style w:type="character" w:styleId="Style15">
    <w:name w:val="Символ нумерации"/>
    <w:qFormat/>
    <w:rPr/>
  </w:style>
  <w:style w:type="character" w:styleId="WW8Num4z0">
    <w:name w:val="WW8Num4z0"/>
    <w:qFormat/>
    <w:rPr>
      <w:b w:val="false"/>
      <w:color w:val="000000"/>
      <w:u w:val="none"/>
    </w:rPr>
  </w:style>
  <w:style w:type="character" w:styleId="WW8Num14z0">
    <w:name w:val="WW8Num14z0"/>
    <w:qFormat/>
    <w:rPr>
      <w:rFonts w:ascii="Symbol" w:hAnsi="Symbol" w:cs="Symbol"/>
    </w:rPr>
  </w:style>
  <w:style w:type="character" w:styleId="WW8Num6z0">
    <w:name w:val="WW8Num6z0"/>
    <w:qFormat/>
    <w:rPr>
      <w:rFonts w:ascii="Symbol" w:hAnsi="Symbol" w:cs="Symbol"/>
      <w:color w:val="000000"/>
    </w:rPr>
  </w:style>
  <w:style w:type="character" w:styleId="WW8Num11z0">
    <w:name w:val="WW8Num11z0"/>
    <w:qFormat/>
    <w:rPr>
      <w:rFonts w:ascii="Symbol" w:hAnsi="Symbol" w:cs="Symbol"/>
    </w:rPr>
  </w:style>
  <w:style w:type="character" w:styleId="WW8Num2z0">
    <w:name w:val="WW8Num2z0"/>
    <w:qFormat/>
    <w:rPr>
      <w:rFonts w:ascii="Symbol" w:hAnsi="Symbol" w:cs="Symbol"/>
    </w:rPr>
  </w:style>
  <w:style w:type="character" w:styleId="WW8Num8z0">
    <w:name w:val="WW8Num8z0"/>
    <w:qFormat/>
    <w:rPr>
      <w:rFonts w:ascii="Symbol" w:hAnsi="Symbol" w:cs="Symbol"/>
    </w:rPr>
  </w:style>
  <w:style w:type="character" w:styleId="WW8Num13z0">
    <w:name w:val="WW8Num13z0"/>
    <w:qFormat/>
    <w:rPr>
      <w:rFonts w:ascii="Symbol" w:hAnsi="Symbol" w:cs="Symbol"/>
    </w:rPr>
  </w:style>
  <w:style w:type="character" w:styleId="WW8Num5z0">
    <w:name w:val="WW8Num5z0"/>
    <w:qFormat/>
    <w:rPr>
      <w:rFonts w:ascii="Symbol" w:hAnsi="Symbol" w:cs="Symbol"/>
    </w:rPr>
  </w:style>
  <w:style w:type="character" w:styleId="WW8Num7z0">
    <w:name w:val="WW8Num7z0"/>
    <w:qFormat/>
    <w:rPr>
      <w:rFonts w:ascii="Symbol" w:hAnsi="Symbol" w:cs="Symbol"/>
    </w:rPr>
  </w:style>
  <w:style w:type="character" w:styleId="WW8Num17z0">
    <w:name w:val="WW8Num17z0"/>
    <w:qFormat/>
    <w:rPr>
      <w:rFonts w:ascii="Symbol" w:hAnsi="Symbol" w:cs="Symbol"/>
    </w:rPr>
  </w:style>
  <w:style w:type="character" w:styleId="WW8Num10z0">
    <w:name w:val="WW8Num10z0"/>
    <w:qFormat/>
    <w:rPr>
      <w:rFonts w:ascii="Times New Roman" w:hAnsi="Times New Roman" w:eastAsia="Calibri" w:cs="Times New Roman"/>
    </w:rPr>
  </w:style>
  <w:style w:type="character" w:styleId="FollowedHyperlink">
    <w:name w:val="FollowedHyperlink"/>
    <w:rPr>
      <w:color w:val="800000"/>
      <w:u w:val="single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link w:val="Style6"/>
    <w:rsid w:val="0076353a"/>
    <w:pPr>
      <w:spacing w:before="0" w:after="12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/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">
    <w:name w:val="index heading1"/>
    <w:basedOn w:val="Title"/>
    <w:qFormat/>
    <w:pPr/>
    <w:rPr/>
  </w:style>
  <w:style w:type="paragraph" w:styleId="Style18" w:customStyle="1">
    <w:name w:val="Название раздела инструкции"/>
    <w:basedOn w:val="Normal"/>
    <w:autoRedefine/>
    <w:qFormat/>
    <w:rsid w:val="00275328"/>
    <w:pPr>
      <w:jc w:val="center"/>
    </w:pPr>
    <w:rPr>
      <w:b/>
    </w:rPr>
  </w:style>
  <w:style w:type="paragraph" w:styleId="Style19" w:customStyle="1">
    <w:name w:val="Раздел положения"/>
    <w:basedOn w:val="Normal"/>
    <w:autoRedefine/>
    <w:qFormat/>
    <w:rsid w:val="007475ee"/>
    <w:pPr>
      <w:numPr>
        <w:ilvl w:val="0"/>
        <w:numId w:val="1"/>
      </w:numPr>
      <w:spacing w:before="80" w:after="80"/>
      <w:jc w:val="center"/>
    </w:pPr>
    <w:rPr>
      <w:b/>
      <w:sz w:val="32"/>
      <w:szCs w:val="32"/>
    </w:rPr>
  </w:style>
  <w:style w:type="paragraph" w:styleId="Style20" w:customStyle="1">
    <w:name w:val="Подраздел раздела положения"/>
    <w:basedOn w:val="Normal"/>
    <w:autoRedefine/>
    <w:qFormat/>
    <w:rsid w:val="007475ee"/>
    <w:pPr>
      <w:numPr>
        <w:ilvl w:val="1"/>
        <w:numId w:val="1"/>
      </w:numPr>
      <w:spacing w:before="80" w:after="80"/>
      <w:jc w:val="both"/>
    </w:pPr>
    <w:rPr/>
  </w:style>
  <w:style w:type="paragraph" w:styleId="FootnoteText">
    <w:name w:val="Footnote Text"/>
    <w:basedOn w:val="Normal"/>
    <w:link w:val="Style5"/>
    <w:uiPriority w:val="99"/>
    <w:rsid w:val="00d561d9"/>
    <w:pPr/>
    <w:rPr>
      <w:sz w:val="20"/>
      <w:szCs w:val="20"/>
    </w:rPr>
  </w:style>
  <w:style w:type="paragraph" w:styleId="13" w:customStyle="1">
    <w:name w:val="Шапка 1"/>
    <w:basedOn w:val="Normal"/>
    <w:qFormat/>
    <w:rsid w:val="00d561d9"/>
    <w:pPr>
      <w:pBdr>
        <w:bottom w:val="thickThinSmallGap" w:sz="24" w:space="1" w:color="000000"/>
      </w:pBdr>
      <w:spacing w:before="0" w:after="240"/>
      <w:jc w:val="center"/>
    </w:pPr>
    <w:rPr>
      <w:sz w:val="22"/>
      <w:szCs w:val="22"/>
    </w:rPr>
  </w:style>
  <w:style w:type="paragraph" w:styleId="23" w:customStyle="1">
    <w:name w:val="Шапка 2"/>
    <w:basedOn w:val="Normal"/>
    <w:qFormat/>
    <w:rsid w:val="00d561d9"/>
    <w:pPr>
      <w:pBdr>
        <w:bottom w:val="thickThinSmallGap" w:sz="24" w:space="1" w:color="000000"/>
      </w:pBdr>
      <w:spacing w:before="0" w:after="120"/>
      <w:jc w:val="center"/>
    </w:pPr>
    <w:rPr>
      <w:b/>
      <w:sz w:val="22"/>
      <w:szCs w:val="22"/>
    </w:rPr>
  </w:style>
  <w:style w:type="paragraph" w:styleId="33" w:customStyle="1">
    <w:name w:val="Шапка 3"/>
    <w:basedOn w:val="Normal"/>
    <w:qFormat/>
    <w:rsid w:val="00d561d9"/>
    <w:pPr>
      <w:pBdr>
        <w:bottom w:val="thickThinSmallGap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styleId="14" w:customStyle="1">
    <w:name w:val="Название1"/>
    <w:basedOn w:val="Normal"/>
    <w:link w:val="Style1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styleId="Style21" w:customStyle="1">
    <w:name w:val="Колонтитул"/>
    <w:basedOn w:val="Normal"/>
    <w:qFormat/>
    <w:pPr/>
    <w:rPr/>
  </w:style>
  <w:style w:type="paragraph" w:styleId="Header">
    <w:name w:val="Header"/>
    <w:basedOn w:val="Normal"/>
    <w:link w:val="Style10"/>
    <w:rsid w:val="0076353a"/>
    <w:pPr>
      <w:tabs>
        <w:tab w:val="clear" w:pos="708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BodyTextIndent">
    <w:name w:val="Body Text Indent"/>
    <w:basedOn w:val="Normal"/>
    <w:rsid w:val="0076353a"/>
    <w:pPr>
      <w:ind w:left="360" w:hanging="0"/>
    </w:pPr>
    <w:rPr>
      <w:sz w:val="24"/>
      <w:szCs w:val="24"/>
    </w:rPr>
  </w:style>
  <w:style w:type="paragraph" w:styleId="Footer">
    <w:name w:val="Footer"/>
    <w:basedOn w:val="Normal"/>
    <w:rsid w:val="0076353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odyTextIndent2">
    <w:name w:val="Body Text Indent 2"/>
    <w:basedOn w:val="Normal"/>
    <w:qFormat/>
    <w:rsid w:val="0076353a"/>
    <w:pPr>
      <w:spacing w:lineRule="auto" w:line="480" w:before="0" w:after="120"/>
      <w:ind w:left="283" w:hanging="0"/>
    </w:pPr>
    <w:rPr/>
  </w:style>
  <w:style w:type="paragraph" w:styleId="BodyText3">
    <w:name w:val="Body Text 3"/>
    <w:basedOn w:val="Normal"/>
    <w:qFormat/>
    <w:rsid w:val="0076353a"/>
    <w:pPr>
      <w:spacing w:before="0" w:after="120"/>
    </w:pPr>
    <w:rPr>
      <w:sz w:val="16"/>
      <w:szCs w:val="16"/>
    </w:rPr>
  </w:style>
  <w:style w:type="paragraph" w:styleId="BodyTextIndent3">
    <w:name w:val="Body Text Indent 3"/>
    <w:basedOn w:val="Normal"/>
    <w:link w:val="32"/>
    <w:qFormat/>
    <w:rsid w:val="0076353a"/>
    <w:pPr>
      <w:spacing w:before="0" w:after="120"/>
      <w:ind w:left="283" w:hanging="0"/>
    </w:pPr>
    <w:rPr>
      <w:sz w:val="16"/>
      <w:szCs w:val="16"/>
    </w:rPr>
  </w:style>
  <w:style w:type="paragraph" w:styleId="BodyText2">
    <w:name w:val="Body Text 2"/>
    <w:basedOn w:val="Normal"/>
    <w:qFormat/>
    <w:rsid w:val="0076353a"/>
    <w:pPr>
      <w:spacing w:lineRule="auto" w:line="480" w:before="0" w:after="120"/>
    </w:pPr>
    <w:rPr/>
  </w:style>
  <w:style w:type="paragraph" w:styleId="BlockText">
    <w:name w:val="Block Text"/>
    <w:basedOn w:val="Normal"/>
    <w:qFormat/>
    <w:rsid w:val="0076353a"/>
    <w:pPr>
      <w:ind w:left="-567" w:right="-766" w:hanging="0"/>
      <w:jc w:val="center"/>
    </w:pPr>
    <w:rPr>
      <w:b/>
      <w:bCs/>
      <w:sz w:val="24"/>
      <w:szCs w:val="20"/>
    </w:rPr>
  </w:style>
  <w:style w:type="paragraph" w:styleId="Style22" w:customStyle="1">
    <w:name w:val="Подпункт"/>
    <w:basedOn w:val="Normal"/>
    <w:link w:val="11"/>
    <w:qFormat/>
    <w:rsid w:val="0076353a"/>
    <w:pPr>
      <w:tabs>
        <w:tab w:val="clear" w:pos="708"/>
        <w:tab w:val="left" w:pos="1134" w:leader="none"/>
      </w:tabs>
      <w:snapToGrid w:val="false"/>
      <w:spacing w:lineRule="auto" w:line="360"/>
      <w:ind w:left="1134" w:hanging="1134"/>
      <w:jc w:val="both"/>
    </w:pPr>
    <w:rPr>
      <w:szCs w:val="20"/>
      <w:lang w:val="x-none" w:eastAsia="x-none"/>
    </w:rPr>
  </w:style>
  <w:style w:type="paragraph" w:styleId="24" w:customStyle="1">
    <w:name w:val="Пункт2"/>
    <w:basedOn w:val="Normal"/>
    <w:link w:val="22"/>
    <w:qFormat/>
    <w:rsid w:val="0076353a"/>
    <w:pPr>
      <w:keepNext w:val="true"/>
      <w:tabs>
        <w:tab w:val="clear" w:pos="708"/>
        <w:tab w:val="left" w:pos="1134" w:leader="none"/>
      </w:tabs>
      <w:snapToGrid w:val="false"/>
      <w:spacing w:before="240" w:after="120"/>
      <w:ind w:left="1134" w:hanging="1134"/>
      <w:outlineLvl w:val="2"/>
    </w:pPr>
    <w:rPr>
      <w:b/>
      <w:szCs w:val="20"/>
    </w:rPr>
  </w:style>
  <w:style w:type="paragraph" w:styleId="TOC1">
    <w:name w:val="TOC 1"/>
    <w:basedOn w:val="Normal"/>
    <w:next w:val="Normal"/>
    <w:autoRedefine/>
    <w:uiPriority w:val="39"/>
    <w:rsid w:val="00607c5c"/>
    <w:pPr>
      <w:spacing w:before="120" w:after="0"/>
    </w:pPr>
    <w:rPr>
      <w:rFonts w:cs="Calibri" w:cstheme="minorHAnsi"/>
      <w:b/>
      <w:bCs/>
      <w:iCs/>
      <w:sz w:val="24"/>
      <w:szCs w:val="24"/>
    </w:rPr>
  </w:style>
  <w:style w:type="paragraph" w:styleId="TOC3">
    <w:name w:val="TOC 3"/>
    <w:basedOn w:val="Normal"/>
    <w:next w:val="Normal"/>
    <w:autoRedefine/>
    <w:uiPriority w:val="39"/>
    <w:rsid w:val="00d06dd5"/>
    <w:pPr>
      <w:tabs>
        <w:tab w:val="clear" w:pos="708"/>
        <w:tab w:val="left" w:pos="1400" w:leader="none"/>
        <w:tab w:val="right" w:pos="9911" w:leader="dot"/>
      </w:tabs>
      <w:ind w:left="560" w:hanging="0"/>
    </w:pPr>
    <w:rPr>
      <w:rFonts w:cs="Calibri" w:cstheme="minorHAnsi"/>
      <w:sz w:val="20"/>
      <w:szCs w:val="20"/>
    </w:rPr>
  </w:style>
  <w:style w:type="paragraph" w:styleId="Style23" w:customStyle="1">
    <w:name w:val="Раздел регламента"/>
    <w:basedOn w:val="Normal"/>
    <w:qFormat/>
    <w:rsid w:val="00e228fa"/>
    <w:pPr/>
    <w:rPr/>
  </w:style>
  <w:style w:type="paragraph" w:styleId="Style24" w:customStyle="1">
    <w:name w:val="Приложение к регламенту"/>
    <w:basedOn w:val="Normal"/>
    <w:qFormat/>
    <w:rsid w:val="00e228fa"/>
    <w:pPr>
      <w:jc w:val="right"/>
    </w:pPr>
    <w:rPr/>
  </w:style>
  <w:style w:type="paragraph" w:styleId="TOC2">
    <w:name w:val="TOC 2"/>
    <w:basedOn w:val="Normal"/>
    <w:next w:val="Normal"/>
    <w:autoRedefine/>
    <w:uiPriority w:val="39"/>
    <w:rsid w:val="00607c5c"/>
    <w:pPr>
      <w:spacing w:before="120" w:after="0"/>
      <w:ind w:left="280" w:hanging="0"/>
    </w:pPr>
    <w:rPr>
      <w:rFonts w:cs="Calibri" w:cstheme="minorHAnsi"/>
      <w:b/>
      <w:bCs/>
      <w:sz w:val="22"/>
      <w:szCs w:val="22"/>
    </w:rPr>
  </w:style>
  <w:style w:type="paragraph" w:styleId="BalloonText">
    <w:name w:val="Balloon Text"/>
    <w:basedOn w:val="Normal"/>
    <w:semiHidden/>
    <w:qFormat/>
    <w:rsid w:val="00197c91"/>
    <w:pPr/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link w:val="Style11"/>
    <w:uiPriority w:val="99"/>
    <w:qFormat/>
    <w:rsid w:val="00b714b0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semiHidden/>
    <w:qFormat/>
    <w:rsid w:val="00b714b0"/>
    <w:pPr/>
    <w:rPr>
      <w:b/>
      <w:bCs/>
    </w:rPr>
  </w:style>
  <w:style w:type="paragraph" w:styleId="15" w:customStyle="1">
    <w:name w:val="Обычный (веб)1"/>
    <w:basedOn w:val="Normal"/>
    <w:uiPriority w:val="99"/>
    <w:qFormat/>
    <w:rsid w:val="002f559a"/>
    <w:pPr>
      <w:spacing w:beforeAutospacing="1" w:afterAutospacing="1"/>
    </w:pPr>
    <w:rPr>
      <w:rFonts w:ascii="Arial Unicode MS" w:hAnsi="Arial Unicode MS" w:eastAsia="Arial Unicode MS" w:cs="Arial Unicode MS"/>
      <w:sz w:val="24"/>
      <w:szCs w:val="24"/>
    </w:rPr>
  </w:style>
  <w:style w:type="paragraph" w:styleId="TOC9">
    <w:name w:val="TOC 9"/>
    <w:basedOn w:val="Normal"/>
    <w:next w:val="Normal"/>
    <w:autoRedefine/>
    <w:semiHidden/>
    <w:rsid w:val="00f57628"/>
    <w:pPr>
      <w:ind w:left="224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semiHidden/>
    <w:rsid w:val="00f57628"/>
    <w:pPr>
      <w:ind w:left="112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iPriority w:val="39"/>
    <w:rsid w:val="00607c5c"/>
    <w:pPr>
      <w:ind w:left="840" w:hanging="0"/>
    </w:pPr>
    <w:rPr>
      <w:rFonts w:cs="Calibri" w:cstheme="minorHAnsi"/>
      <w:sz w:val="20"/>
      <w:szCs w:val="20"/>
    </w:rPr>
  </w:style>
  <w:style w:type="paragraph" w:styleId="25" w:customStyle="1">
    <w:name w:val="Раздел положения 2"/>
    <w:basedOn w:val="Normal"/>
    <w:qFormat/>
    <w:rsid w:val="002c1e0e"/>
    <w:pPr>
      <w:pageBreakBefore/>
      <w:jc w:val="both"/>
      <w:outlineLvl w:val="0"/>
    </w:pPr>
    <w:rPr>
      <w:b/>
    </w:rPr>
  </w:style>
  <w:style w:type="paragraph" w:styleId="Style25" w:customStyle="1">
    <w:name w:val="Знак Знак Знак Знак Знак Знак Знак Знак Знак"/>
    <w:basedOn w:val="Normal"/>
    <w:qFormat/>
    <w:rsid w:val="00d22f6d"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NoSpacing">
    <w:name w:val="No Spacing"/>
    <w:basedOn w:val="Normal"/>
    <w:uiPriority w:val="1"/>
    <w:qFormat/>
    <w:rsid w:val="00d22f6d"/>
    <w:pPr>
      <w:spacing w:lineRule="auto" w:line="360"/>
    </w:pPr>
    <w:rPr>
      <w:rFonts w:eastAsia="Calibri"/>
      <w:sz w:val="24"/>
      <w:szCs w:val="24"/>
    </w:rPr>
  </w:style>
  <w:style w:type="paragraph" w:styleId="Caption11" w:customStyle="1">
    <w:name w:val="caption11"/>
    <w:basedOn w:val="Normal"/>
    <w:next w:val="Normal"/>
    <w:uiPriority w:val="35"/>
    <w:qFormat/>
    <w:rsid w:val="00d22f6d"/>
    <w:pPr/>
    <w:rPr>
      <w:rFonts w:eastAsia="Calibri"/>
      <w:b/>
      <w:bCs/>
      <w:color w:val="4F81BD"/>
      <w:sz w:val="18"/>
      <w:szCs w:val="18"/>
    </w:rPr>
  </w:style>
  <w:style w:type="paragraph" w:styleId="Subtitle">
    <w:name w:val="Subtitle"/>
    <w:basedOn w:val="Normal"/>
    <w:next w:val="Normal"/>
    <w:link w:val="Style2"/>
    <w:uiPriority w:val="11"/>
    <w:qFormat/>
    <w:rsid w:val="00d22f6d"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paragraph" w:styleId="ListParagraph">
    <w:name w:val="List Paragraph"/>
    <w:basedOn w:val="Normal"/>
    <w:link w:val="Style7"/>
    <w:uiPriority w:val="34"/>
    <w:qFormat/>
    <w:rsid w:val="00d22f6d"/>
    <w:pPr>
      <w:spacing w:before="0" w:after="0"/>
      <w:ind w:left="720" w:hanging="0"/>
      <w:contextualSpacing/>
    </w:pPr>
    <w:rPr>
      <w:rFonts w:eastAsia="Calibri"/>
      <w:sz w:val="24"/>
      <w:szCs w:val="24"/>
    </w:rPr>
  </w:style>
  <w:style w:type="paragraph" w:styleId="Quote">
    <w:name w:val="Quote"/>
    <w:basedOn w:val="Normal"/>
    <w:next w:val="Normal"/>
    <w:link w:val="21"/>
    <w:uiPriority w:val="29"/>
    <w:qFormat/>
    <w:rsid w:val="00d22f6d"/>
    <w:pPr/>
    <w:rPr>
      <w:rFonts w:ascii="Calibri" w:hAnsi="Calibri" w:eastAsia="Calibri"/>
      <w:i/>
      <w:iCs/>
      <w:color w:val="000000"/>
      <w:sz w:val="20"/>
      <w:szCs w:val="20"/>
      <w:lang w:val="x-none" w:eastAsia="x-none"/>
    </w:rPr>
  </w:style>
  <w:style w:type="paragraph" w:styleId="IntenseQuote">
    <w:name w:val="Intense Quote"/>
    <w:basedOn w:val="Normal"/>
    <w:next w:val="Normal"/>
    <w:link w:val="Style3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 w:hanging="0"/>
    </w:pPr>
    <w:rPr>
      <w:rFonts w:ascii="Calibri" w:hAnsi="Calibri" w:eastAsia="Calibri"/>
      <w:b/>
      <w:bCs/>
      <w:i/>
      <w:iCs/>
      <w:color w:val="4F81BD"/>
      <w:sz w:val="20"/>
      <w:szCs w:val="20"/>
      <w:lang w:val="x-none" w:eastAsia="x-none"/>
    </w:rPr>
  </w:style>
  <w:style w:type="paragraph" w:styleId="IndexHeading">
    <w:name w:val="Index Heading"/>
    <w:basedOn w:val="Style16"/>
    <w:pPr/>
    <w:rPr/>
  </w:style>
  <w:style w:type="paragraph" w:styleId="TOCHeading">
    <w:name w:val="TOC Heading"/>
    <w:basedOn w:val="Heading1"/>
    <w:next w:val="Normal"/>
    <w:uiPriority w:val="39"/>
    <w:qFormat/>
    <w:rsid w:val="00d22f6d"/>
    <w:pPr>
      <w:keepLines/>
      <w:spacing w:before="480" w:after="60"/>
      <w:outlineLvl w:val="9"/>
    </w:pPr>
    <w:rPr>
      <w:rFonts w:ascii="Cambria" w:hAnsi="Cambria"/>
      <w:bCs/>
      <w:color w:val="365F91"/>
    </w:rPr>
  </w:style>
  <w:style w:type="paragraph" w:styleId="E-mailSignature">
    <w:name w:val="E-mail Signature"/>
    <w:basedOn w:val="Normal"/>
    <w:link w:val="Style4"/>
    <w:uiPriority w:val="99"/>
    <w:unhideWhenUsed/>
    <w:qFormat/>
    <w:rsid w:val="00d22f6d"/>
    <w:pPr/>
    <w:rPr>
      <w:rFonts w:eastAsia="Calibri"/>
      <w:sz w:val="24"/>
      <w:szCs w:val="24"/>
      <w:lang w:val="x-none" w:eastAsia="x-none"/>
    </w:rPr>
  </w:style>
  <w:style w:type="paragraph" w:styleId="Style26" w:customStyle="1">
    <w:name w:val="Знак"/>
    <w:basedOn w:val="Normal"/>
    <w:qFormat/>
    <w:rsid w:val="00d22f6d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34" w:customStyle="1">
    <w:name w:val="Нумерованный список ур3"/>
    <w:basedOn w:val="Normal"/>
    <w:qFormat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41" w:customStyle="1">
    <w:name w:val="Маркированный список 41"/>
    <w:basedOn w:val="Normal"/>
    <w:qFormat/>
    <w:rsid w:val="00d22f6d"/>
    <w:pPr>
      <w:numPr>
        <w:ilvl w:val="0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26" w:customStyle="1">
    <w:name w:val="Нумерованный список ур2"/>
    <w:basedOn w:val="Normal"/>
    <w:qFormat/>
    <w:rsid w:val="00d22f6d"/>
    <w:pPr>
      <w:numPr>
        <w:ilvl w:val="1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Revision">
    <w:name w:val="Revision"/>
    <w:uiPriority w:val="99"/>
    <w:semiHidden/>
    <w:qFormat/>
    <w:rsid w:val="00d22f6d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auto"/>
      <w:kern w:val="0"/>
      <w:sz w:val="24"/>
      <w:szCs w:val="24"/>
      <w:lang w:val="ru-RU" w:eastAsia="ru-RU" w:bidi="ar-SA"/>
    </w:rPr>
  </w:style>
  <w:style w:type="paragraph" w:styleId="ConsPlusNormal" w:customStyle="1">
    <w:name w:val="ConsPlusNormal"/>
    <w:qFormat/>
    <w:rsid w:val="00d22f6d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35" w:customStyle="1">
    <w:name w:val="Знак Знак3 Знак Знак"/>
    <w:basedOn w:val="Normal"/>
    <w:qFormat/>
    <w:rsid w:val="00d22f6d"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Style27" w:customStyle="1">
    <w:name w:val="Пункт"/>
    <w:basedOn w:val="Normal"/>
    <w:qFormat/>
    <w:rsid w:val="00d22f6d"/>
    <w:pPr>
      <w:widowControl w:val="false"/>
      <w:tabs>
        <w:tab w:val="clear" w:pos="708"/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Cs w:val="20"/>
    </w:rPr>
  </w:style>
  <w:style w:type="paragraph" w:styleId="16" w:customStyle="1">
    <w:name w:val="Абзац списка1"/>
    <w:basedOn w:val="Normal"/>
    <w:qFormat/>
    <w:rsid w:val="00d22f6d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Style28" w:customStyle="1">
    <w:name w:val="Таблица"/>
    <w:basedOn w:val="Normal"/>
    <w:qFormat/>
    <w:rsid w:val="0041356c"/>
    <w:pPr>
      <w:keepNext w:val="true"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paragraph" w:styleId="Style29" w:customStyle="1">
    <w:name w:val="Таблица шапка"/>
    <w:basedOn w:val="Normal"/>
    <w:qFormat/>
    <w:rsid w:val="00f64089"/>
    <w:pPr>
      <w:keepNext w:val="true"/>
      <w:spacing w:before="40" w:after="40"/>
      <w:ind w:left="57" w:right="57" w:hanging="0"/>
    </w:pPr>
    <w:rPr>
      <w:sz w:val="22"/>
      <w:szCs w:val="26"/>
    </w:rPr>
  </w:style>
  <w:style w:type="paragraph" w:styleId="Style30" w:customStyle="1">
    <w:name w:val="Подподпункт"/>
    <w:basedOn w:val="Style22"/>
    <w:link w:val="Style9"/>
    <w:qFormat/>
    <w:rsid w:val="0025139e"/>
    <w:pPr>
      <w:tabs>
        <w:tab w:val="clear" w:pos="1134"/>
        <w:tab w:val="left" w:pos="5104" w:leader="none"/>
      </w:tabs>
      <w:snapToGrid w:val="true"/>
      <w:spacing w:lineRule="auto" w:line="240" w:before="120" w:after="0"/>
      <w:ind w:left="5104" w:hanging="567"/>
    </w:pPr>
    <w:rPr>
      <w:sz w:val="26"/>
      <w:szCs w:val="26"/>
      <w:lang w:val="ru-RU" w:eastAsia="ru-RU"/>
    </w:rPr>
  </w:style>
  <w:style w:type="paragraph" w:styleId="Style31" w:customStyle="1">
    <w:name w:val="УРОВЕНЬ_(а)"/>
    <w:basedOn w:val="ListParagraph"/>
    <w:qFormat/>
    <w:rsid w:val="00b56f46"/>
    <w:pPr>
      <w:numPr>
        <w:ilvl w:val="3"/>
        <w:numId w:val="4"/>
      </w:numPr>
      <w:spacing w:lineRule="exact" w:line="360" w:before="120" w:after="0"/>
      <w:contextualSpacing w:val="false"/>
      <w:jc w:val="both"/>
      <w:outlineLvl w:val="3"/>
    </w:pPr>
    <w:rPr>
      <w:sz w:val="26"/>
      <w:szCs w:val="28"/>
      <w:lang w:eastAsia="en-US"/>
    </w:rPr>
  </w:style>
  <w:style w:type="paragraph" w:styleId="-" w:customStyle="1">
    <w:name w:val="УРОВЕНЬ_-"/>
    <w:basedOn w:val="ListParagraph"/>
    <w:qFormat/>
    <w:rsid w:val="00b56f46"/>
    <w:pPr>
      <w:numPr>
        <w:ilvl w:val="4"/>
        <w:numId w:val="4"/>
      </w:numPr>
      <w:spacing w:lineRule="exact" w:line="360" w:before="120" w:after="0"/>
      <w:contextualSpacing w:val="false"/>
      <w:jc w:val="both"/>
      <w:outlineLvl w:val="4"/>
    </w:pPr>
    <w:rPr>
      <w:sz w:val="26"/>
      <w:szCs w:val="28"/>
      <w:lang w:eastAsia="en-US"/>
    </w:rPr>
  </w:style>
  <w:style w:type="paragraph" w:styleId="27" w:customStyle="1">
    <w:name w:val="УРОВЕНЬ_Абзац_тип2"/>
    <w:basedOn w:val="ListParagraph"/>
    <w:qFormat/>
    <w:rsid w:val="00b56f46"/>
    <w:pPr>
      <w:numPr>
        <w:ilvl w:val="6"/>
        <w:numId w:val="4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36" w:customStyle="1">
    <w:name w:val="УРОВЕНЬ_Абзац_тип3"/>
    <w:basedOn w:val="ListParagraph"/>
    <w:link w:val="31"/>
    <w:qFormat/>
    <w:rsid w:val="00b56f46"/>
    <w:pPr>
      <w:numPr>
        <w:ilvl w:val="7"/>
        <w:numId w:val="4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Style32" w:customStyle="1">
    <w:name w:val="УРОВЕНЬ_Подпись"/>
    <w:basedOn w:val="ListParagraph"/>
    <w:qFormat/>
    <w:rsid w:val="00b56f46"/>
    <w:pPr>
      <w:keepNext w:val="true"/>
      <w:numPr>
        <w:ilvl w:val="5"/>
        <w:numId w:val="4"/>
      </w:numPr>
      <w:spacing w:lineRule="exact" w:line="360" w:before="120" w:after="120"/>
      <w:contextualSpacing w:val="false"/>
      <w:jc w:val="right"/>
      <w:outlineLvl w:val="3"/>
    </w:pPr>
    <w:rPr>
      <w:sz w:val="26"/>
      <w:szCs w:val="28"/>
      <w:lang w:eastAsia="en-US"/>
    </w:rPr>
  </w:style>
  <w:style w:type="paragraph" w:styleId="17" w:customStyle="1">
    <w:name w:val="Стиль Заголовок 1 + по ширине"/>
    <w:basedOn w:val="Heading1"/>
    <w:qFormat/>
    <w:rsid w:val="005773b2"/>
    <w:pPr>
      <w:keepLines/>
      <w:tabs>
        <w:tab w:val="clear" w:pos="0"/>
        <w:tab w:val="left" w:pos="567" w:leader="none"/>
      </w:tabs>
      <w:spacing w:before="480" w:after="240"/>
      <w:ind w:left="567" w:hanging="567"/>
    </w:pPr>
    <w:rPr>
      <w:rFonts w:ascii="Arial" w:hAnsi="Arial" w:eastAsia="Times New Roman"/>
      <w:bCs/>
      <w:kern w:val="2"/>
      <w:sz w:val="40"/>
      <w:szCs w:val="20"/>
      <w:lang w:val="ru-RU" w:eastAsia="ru-RU"/>
    </w:rPr>
  </w:style>
  <w:style w:type="paragraph" w:styleId="EndnoteText">
    <w:name w:val="Endnote Text"/>
    <w:basedOn w:val="Normal"/>
    <w:link w:val="Style12"/>
    <w:rsid w:val="003879d4"/>
    <w:pPr/>
    <w:rPr>
      <w:sz w:val="20"/>
      <w:szCs w:val="20"/>
    </w:rPr>
  </w:style>
  <w:style w:type="paragraph" w:styleId="28" w:customStyle="1">
    <w:name w:val="Заголовок 2 КВВ"/>
    <w:basedOn w:val="Normal"/>
    <w:qFormat/>
    <w:rsid w:val="00cb35e8"/>
    <w:pPr>
      <w:keepNext w:val="true"/>
      <w:numPr>
        <w:ilvl w:val="0"/>
        <w:numId w:val="5"/>
      </w:numPr>
      <w:spacing w:before="120" w:after="120"/>
      <w:jc w:val="both"/>
      <w:outlineLvl w:val="0"/>
    </w:pPr>
    <w:rPr>
      <w:b/>
      <w:kern w:val="2"/>
      <w:sz w:val="24"/>
      <w:szCs w:val="20"/>
      <w:lang w:eastAsia="x-none"/>
    </w:rPr>
  </w:style>
  <w:style w:type="paragraph" w:styleId="Style33" w:customStyle="1">
    <w:name w:val="Таблица текст"/>
    <w:basedOn w:val="Normal"/>
    <w:qFormat/>
    <w:rsid w:val="00343e95"/>
    <w:pPr>
      <w:spacing w:before="40" w:after="40"/>
      <w:ind w:left="57" w:right="57" w:hanging="0"/>
    </w:pPr>
    <w:rPr>
      <w:sz w:val="24"/>
      <w:szCs w:val="26"/>
    </w:rPr>
  </w:style>
  <w:style w:type="paragraph" w:styleId="NormalWeb">
    <w:name w:val="Normal (Web)"/>
    <w:basedOn w:val="Normal"/>
    <w:uiPriority w:val="99"/>
    <w:unhideWhenUsed/>
    <w:qFormat/>
    <w:rsid w:val="00265d9f"/>
    <w:pPr>
      <w:spacing w:beforeAutospacing="1" w:afterAutospacing="1"/>
    </w:pPr>
    <w:rPr>
      <w:sz w:val="24"/>
      <w:szCs w:val="24"/>
    </w:rPr>
  </w:style>
  <w:style w:type="paragraph" w:styleId="TOC6">
    <w:name w:val="TOC 6"/>
    <w:basedOn w:val="Normal"/>
    <w:next w:val="Normal"/>
    <w:autoRedefine/>
    <w:semiHidden/>
    <w:unhideWhenUsed/>
    <w:rsid w:val="00796dd1"/>
    <w:pPr>
      <w:ind w:left="140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semiHidden/>
    <w:unhideWhenUsed/>
    <w:rsid w:val="00796dd1"/>
    <w:pPr>
      <w:ind w:left="168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semiHidden/>
    <w:unhideWhenUsed/>
    <w:rsid w:val="00796dd1"/>
    <w:pPr>
      <w:ind w:left="196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Style34" w:customStyle="1">
    <w:name w:val="Содержимое врезки"/>
    <w:basedOn w:val="Normal"/>
    <w:qFormat/>
    <w:pPr/>
    <w:rPr/>
  </w:style>
  <w:style w:type="paragraph" w:styleId="Style35" w:customStyle="1">
    <w:name w:val="Содержимое таблицы"/>
    <w:basedOn w:val="Normal"/>
    <w:qFormat/>
    <w:pPr>
      <w:widowControl w:val="false"/>
      <w:suppressLineNumbers/>
    </w:pPr>
    <w:rPr/>
  </w:style>
  <w:style w:type="paragraph" w:styleId="Style36" w:customStyle="1">
    <w:name w:val="Заголовок таблицы"/>
    <w:basedOn w:val="Style35"/>
    <w:qFormat/>
    <w:pPr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numbering" w:styleId="18" w:customStyle="1">
    <w:name w:val="Стиль1"/>
    <w:uiPriority w:val="99"/>
    <w:qFormat/>
    <w:rsid w:val="00f001e4"/>
  </w:style>
  <w:style w:type="numbering" w:styleId="29" w:customStyle="1">
    <w:name w:val="Стиль2"/>
    <w:uiPriority w:val="99"/>
    <w:qFormat/>
    <w:rsid w:val="006629c9"/>
  </w:style>
  <w:style w:type="numbering" w:styleId="123">
    <w:name w:val="Нумерованный 123"/>
    <w:qFormat/>
  </w:style>
  <w:style w:type="numbering" w:styleId="WW8Num4">
    <w:name w:val="WW8Num4"/>
    <w:qFormat/>
  </w:style>
  <w:style w:type="numbering" w:styleId="WW8Num14">
    <w:name w:val="WW8Num14"/>
    <w:qFormat/>
  </w:style>
  <w:style w:type="numbering" w:styleId="WW8Num6">
    <w:name w:val="WW8Num6"/>
    <w:qFormat/>
  </w:style>
  <w:style w:type="numbering" w:styleId="WW8Num11">
    <w:name w:val="WW8Num11"/>
    <w:qFormat/>
  </w:style>
  <w:style w:type="numbering" w:styleId="WW8Num2">
    <w:name w:val="WW8Num2"/>
    <w:qFormat/>
  </w:style>
  <w:style w:type="numbering" w:styleId="WW8Num8">
    <w:name w:val="WW8Num8"/>
    <w:qFormat/>
  </w:style>
  <w:style w:type="numbering" w:styleId="WW8Num13">
    <w:name w:val="WW8Num13"/>
    <w:qFormat/>
  </w:style>
  <w:style w:type="numbering" w:styleId="WW8Num5">
    <w:name w:val="WW8Num5"/>
    <w:qFormat/>
  </w:style>
  <w:style w:type="numbering" w:styleId="WW8Num7">
    <w:name w:val="WW8Num7"/>
    <w:qFormat/>
  </w:style>
  <w:style w:type="numbering" w:styleId="WW8Num17">
    <w:name w:val="WW8Num17"/>
    <w:qFormat/>
  </w:style>
  <w:style w:type="numbering" w:styleId="WW8Num10">
    <w:name w:val="WW8Num10"/>
    <w:qFormat/>
  </w:style>
  <w:style w:type="table" w:default="1" w:styleId="a5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ff7">
    <w:name w:val="Table Grid"/>
    <w:basedOn w:val="a5"/>
    <w:rsid w:val="0076353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header" Target="header4.xml"/><Relationship Id="rId6" Type="http://schemas.openxmlformats.org/officeDocument/2006/relationships/header" Target="header5.xml"/><Relationship Id="rId7" Type="http://schemas.openxmlformats.org/officeDocument/2006/relationships/header" Target="header6.xml"/><Relationship Id="rId8" Type="http://schemas.openxmlformats.org/officeDocument/2006/relationships/header" Target="header7.xml"/><Relationship Id="rId9" Type="http://schemas.openxmlformats.org/officeDocument/2006/relationships/image" Target="media/image1.png"/><Relationship Id="rId10" Type="http://schemas.openxmlformats.org/officeDocument/2006/relationships/header" Target="header8.xml"/><Relationship Id="rId11" Type="http://schemas.openxmlformats.org/officeDocument/2006/relationships/header" Target="header9.xml"/><Relationship Id="rId12" Type="http://schemas.openxmlformats.org/officeDocument/2006/relationships/header" Target="header10.xml"/><Relationship Id="rId13" Type="http://schemas.openxmlformats.org/officeDocument/2006/relationships/header" Target="header11.xml"/><Relationship Id="rId14" Type="http://schemas.openxmlformats.org/officeDocument/2006/relationships/footer" Target="footer1.xml"/><Relationship Id="rId15" Type="http://schemas.openxmlformats.org/officeDocument/2006/relationships/header" Target="header12.xml"/><Relationship Id="rId16" Type="http://schemas.openxmlformats.org/officeDocument/2006/relationships/header" Target="header13.xml"/><Relationship Id="rId17" Type="http://schemas.openxmlformats.org/officeDocument/2006/relationships/footer" Target="footer2.xml"/><Relationship Id="rId18" Type="http://schemas.openxmlformats.org/officeDocument/2006/relationships/footer" Target="footer3.xml"/><Relationship Id="rId19" Type="http://schemas.openxmlformats.org/officeDocument/2006/relationships/header" Target="header14.xml"/><Relationship Id="rId20" Type="http://schemas.openxmlformats.org/officeDocument/2006/relationships/header" Target="header15.xml"/><Relationship Id="rId21" Type="http://schemas.openxmlformats.org/officeDocument/2006/relationships/footer" Target="footer4.xml"/><Relationship Id="rId22" Type="http://schemas.openxmlformats.org/officeDocument/2006/relationships/footer" Target="footer5.xml"/><Relationship Id="rId23" Type="http://schemas.openxmlformats.org/officeDocument/2006/relationships/header" Target="header16.xml"/><Relationship Id="rId24" Type="http://schemas.openxmlformats.org/officeDocument/2006/relationships/header" Target="header17.xml"/><Relationship Id="rId25" Type="http://schemas.openxmlformats.org/officeDocument/2006/relationships/footer" Target="footer6.xml"/><Relationship Id="rId26" Type="http://schemas.openxmlformats.org/officeDocument/2006/relationships/footer" Target="footer7.xml"/><Relationship Id="rId27" Type="http://schemas.openxmlformats.org/officeDocument/2006/relationships/numbering" Target="numbering.xml"/><Relationship Id="rId28" Type="http://schemas.openxmlformats.org/officeDocument/2006/relationships/fontTable" Target="fontTable.xml"/><Relationship Id="rId29" Type="http://schemas.openxmlformats.org/officeDocument/2006/relationships/settings" Target="settings.xml"/><Relationship Id="rId30" Type="http://schemas.openxmlformats.org/officeDocument/2006/relationships/theme" Target="theme/theme1.xml"/><Relationship Id="rId31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365FFD-7E18-4C3E-BA0F-20DF46F108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Application>AlterOffice/3.4.0.9$Linux_X86_64 LibreOffice_project/b8daf9e823b1a5463a2f48435ddc2e8696e7d4fc</Application>
  <AppVersion>15.0000</AppVersion>
  <DocSecurity>4</DocSecurity>
  <Pages>40</Pages>
  <Words>8703</Words>
  <Characters>55616</Characters>
  <CharactersWithSpaces>64581</CharactersWithSpaces>
  <Paragraphs>1781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2024-06-18T08:05:00Z</dcterms:created>
  <dc:creator>Быстров Олег Геннадьевич</dc:creator>
  <dc:description/>
  <dc:language>ru-RU</dc:language>
  <cp:lastModifiedBy>korolevkv@corp.gidroogk.com</cp:lastModifiedBy>
  <cp:lastPrinted>2006-07-26T14:04:00Z</cp:lastPrinted>
  <dcterms:modified xsi:type="dcterms:W3CDTF">2026-08-05T10:32:01Z</dcterms:modified>
  <cp:revision>18</cp:revision>
  <dc:subject/>
  <dc:title>Российское открытое акционерное общество энергетики и электрификации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